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85117.xml.htm"/>
      <w:bookmarkStart w:id="1" w:name="kswkform4_17864851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Turner Andrea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31"/>
        <w:gridCol w:w="454"/>
        <w:gridCol w:w="712"/>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34,396</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w:t>
            </w: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282,304</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29,899</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w:t>
            </w:r>
            <w:r>
              <w:rPr>
                <w:rFonts w:ascii="Times;serif" w:hAnsi="Times;serif"/>
                <w:color w:val="008000"/>
                <w:position w:val="7"/>
                <w:sz w:val="16"/>
                <w:sz w:val="20"/>
                <w:shd w:fill="FFFFFF" w:val="clear"/>
              </w:rPr>
              <w:t>(3)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252,405</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$5.24 to $5.46, inclusive. The reporting person undertakes to provide to the Issuer or the staff of the Securities and Exchange Commission, upon request, full information regarding the number of shares purchased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92,936 restricted stock units which are payable in an equivalent number of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$5.19 to $5.25, inclusive. The reporting person undertakes to provide to the Issuer or the staff of the Securities and Exchange Commission, upon request, full information regarding the number of shares purchased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4311"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3903</Characters>
  <CharactersWithSpaces>4546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