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83819.xml.htm"/>
      <w:bookmarkStart w:id="1" w:name="kswkform4_17864838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Mayle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Customer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31"/>
        <w:gridCol w:w="454"/>
        <w:gridCol w:w="712"/>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5.22</w:t>
            </w:r>
            <w:r>
              <w:rPr>
                <w:rFonts w:ascii="Times;serif" w:hAnsi="Times;serif"/>
                <w:color w:val="008000"/>
                <w:position w:val="7"/>
                <w:sz w:val="16"/>
                <w:sz w:val="20"/>
                <w:shd w:fill="FFFFFF" w:val="clear"/>
              </w:rPr>
              <w:t>(1)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370,155</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$5.19 to $5.27, inclusive. The reporting person undertakes to provide to the Issuer or the staff of the Securities and Exchange Commission, upon request, full information regarding the number of shares purchased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369,282 restricted stock units which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6592"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650</Words>
  <Characters>3537</Characters>
  <CharactersWithSpaces>4117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