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w:t>
      </w:r>
      <w:r>
        <w:rPr>
          <w:rFonts w:ascii="Times New Roman;serif" w:hAnsi="Times New Roman;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Commission File Number: 001-40378</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572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Trading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300"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107,284,379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320"/>
        <w:gridCol w:w="281"/>
        <w:gridCol w:w="283"/>
        <w:gridCol w:w="2453"/>
        <w:gridCol w:w="2453"/>
        <w:gridCol w:w="2458"/>
        <w:gridCol w:w="180"/>
        <w:gridCol w:w="180"/>
        <w:gridCol w:w="25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3">
              <w:r>
                <w:rPr>
                  <w:rStyle w:val="InternetLink"/>
                  <w:rFonts w:ascii="Times New Roman;serif" w:hAnsi="Times New Roman;serif"/>
                  <w:b w:val="false"/>
                  <w:strike w:val="false"/>
                  <w:dstrike w:val="false"/>
                  <w:color w:val="000000"/>
                  <w:sz w:val="20"/>
                  <w:u w:val="none"/>
                  <w:effect w:val="none"/>
                </w:rPr>
                <w:t>FINANCIAL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3">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6">
              <w:r>
                <w:rPr>
                  <w:rStyle w:val="InternetLink"/>
                  <w:rFonts w:ascii="Times New Roman;serif" w:hAnsi="Times New Roman;serif"/>
                  <w:b w:val="false"/>
                  <w:strike w:val="false"/>
                  <w:dstrike w:val="false"/>
                  <w:color w:val="000000"/>
                  <w:sz w:val="20"/>
                  <w:u w:val="none"/>
                  <w:effect w:val="none"/>
                </w:rPr>
                <w:t>Condensed Consolidated Financial Statements (Unaudited)</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6">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9">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9">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22">
              <w:r>
                <w:rPr>
                  <w:rStyle w:val="InternetLink"/>
                  <w:rFonts w:ascii="Times New Roman;serif" w:hAnsi="Times New Roman;serif"/>
                  <w:b w:val="false"/>
                  <w:strike w:val="false"/>
                  <w:dstrike w:val="false"/>
                  <w:color w:val="000000"/>
                  <w:sz w:val="20"/>
                  <w:u w:val="none"/>
                  <w:effect w:val="none"/>
                </w:rPr>
                <w:t>Condensed Consolidated Statements of Comprehensive Income</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22">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25">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6e2049b7d6ec4562bcc78d9f38d2a9ef_25">
              <w:r>
                <w:rPr>
                  <w:rStyle w:val="InternetLink"/>
                  <w:rFonts w:ascii="Times New Roman;serif" w:hAnsi="Times New Roman;serif"/>
                  <w:b w:val="false"/>
                  <w:strike w:val="false"/>
                  <w:dstrike w:val="false"/>
                  <w:color w:val="000080"/>
                  <w:sz w:val="20"/>
                  <w:u w:val="single"/>
                  <w:effect w:val="none"/>
                </w:rPr>
                <w:t>Equity</w:t>
              </w:r>
            </w:hyperlink>
            <w:hyperlink w:anchor="i6e2049b7d6ec4562bcc78d9f38d2a9ef_25">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25">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28">
              <w:r>
                <w:rPr>
                  <w:rStyle w:val="InternetLink"/>
                  <w:rFonts w:ascii="Times New Roman;serif" w:hAnsi="Times New Roman;serif"/>
                  <w:b w:val="false"/>
                  <w:strike w:val="false"/>
                  <w:dstrike w:val="false"/>
                  <w:color w:val="000000"/>
                  <w:sz w:val="20"/>
                  <w:u w:val="none"/>
                  <w:effect w:val="none"/>
                </w:rPr>
                <w:t xml:space="preserve">Condensed Consolidated Statements of Cash Flows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28">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31">
              <w:r>
                <w:rPr>
                  <w:rStyle w:val="InternetLink"/>
                  <w:rFonts w:ascii="Times New Roman;serif" w:hAnsi="Times New Roman;serif"/>
                  <w:b w:val="false"/>
                  <w:color w:val="0000FF"/>
                  <w:sz w:val="20"/>
                  <w:u w:val="singl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85">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85">
              <w:r>
                <w:rPr>
                  <w:rStyle w:val="InternetLink"/>
                  <w:rFonts w:ascii="Times New Roman;serif" w:hAnsi="Times New Roman;serif"/>
                  <w:b w:val="false"/>
                  <w:color w:val="0000FF"/>
                  <w:sz w:val="20"/>
                  <w:u w:val="single"/>
                </w:rPr>
                <w:t>18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91">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91">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97">
              <w:r>
                <w:rPr>
                  <w:rStyle w:val="InternetLink"/>
                  <w:rFonts w:ascii="Times New Roman;serif" w:hAnsi="Times New Roman;serif"/>
                  <w:b w:val="false"/>
                  <w:strike w:val="false"/>
                  <w:dstrike w:val="false"/>
                  <w:color w:val="000000"/>
                  <w:sz w:val="20"/>
                  <w:u w:val="none"/>
                  <w:effect w:val="none"/>
                </w:rPr>
                <w:t>Controls and Procedures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97">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00">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03">
              <w:r>
                <w:rPr>
                  <w:rStyle w:val="InternetLink"/>
                  <w:rFonts w:ascii="Times New Roman;serif" w:hAnsi="Times New Roman;serif"/>
                  <w:b w:val="false"/>
                  <w:color w:val="0000FF"/>
                  <w:sz w:val="20"/>
                  <w:u w:val="singl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03">
              <w:r>
                <w:rPr>
                  <w:rStyle w:val="InternetLink"/>
                  <w:rFonts w:ascii="Times New Roman;serif" w:hAnsi="Times New Roman;serif"/>
                  <w:b w:val="false"/>
                  <w:strike w:val="false"/>
                  <w:dstrike w:val="false"/>
                  <w:color w:val="000000"/>
                  <w:sz w:val="20"/>
                  <w:u w:val="none"/>
                  <w:effect w:val="none"/>
                </w:rPr>
                <w:t>Legal Proceedings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03">
              <w:r>
                <w:rPr>
                  <w:rStyle w:val="InternetLink"/>
                  <w:rFonts w:ascii="Times New Roman;serif" w:hAnsi="Times New Roman;serif"/>
                  <w:b w:val="false"/>
                  <w:color w:val="0000FF"/>
                  <w:sz w:val="20"/>
                  <w:u w:val="singl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06">
              <w:r>
                <w:rPr>
                  <w:rStyle w:val="InternetLink"/>
                  <w:rFonts w:ascii="Times New Roman;serif" w:hAnsi="Times New Roman;serif"/>
                  <w:b w:val="false"/>
                  <w:strike w:val="false"/>
                  <w:dstrike w:val="false"/>
                  <w:color w:val="000000"/>
                  <w:sz w:val="20"/>
                  <w:u w:val="none"/>
                  <w:effect w:val="none"/>
                </w:rPr>
                <w:t>Risk Factors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06">
              <w:r>
                <w:rPr>
                  <w:rStyle w:val="InternetLink"/>
                  <w:rFonts w:ascii="Times New Roman;serif" w:hAnsi="Times New Roman;serif"/>
                  <w:b w:val="false"/>
                  <w:color w:val="0000FF"/>
                  <w:sz w:val="20"/>
                  <w:u w:val="single"/>
                </w:rPr>
                <w:t>35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09">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09">
              <w:r>
                <w:rPr>
                  <w:rStyle w:val="InternetLink"/>
                  <w:rFonts w:ascii="Times New Roman;serif" w:hAnsi="Times New Roman;serif"/>
                  <w:b w:val="false"/>
                  <w:color w:val="0000FF"/>
                  <w:sz w:val="20"/>
                  <w:u w:val="singl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12">
              <w:r>
                <w:rPr>
                  <w:rStyle w:val="InternetLink"/>
                  <w:rFonts w:ascii="Times New Roman;serif" w:hAnsi="Times New Roman;serif"/>
                  <w:b w:val="false"/>
                  <w:strike w:val="false"/>
                  <w:dstrike w:val="false"/>
                  <w:color w:val="000000"/>
                  <w:sz w:val="20"/>
                  <w:u w:val="none"/>
                  <w:effect w:val="none"/>
                </w:rPr>
                <w:t>Defaults Under Senior Securities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12">
              <w:r>
                <w:rPr>
                  <w:rStyle w:val="InternetLink"/>
                  <w:rFonts w:ascii="Times New Roman;serif" w:hAnsi="Times New Roman;serif"/>
                  <w:b w:val="false"/>
                  <w:color w:val="0000FF"/>
                  <w:sz w:val="20"/>
                  <w:u w:val="singl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15">
              <w:r>
                <w:rPr>
                  <w:rStyle w:val="InternetLink"/>
                  <w:rFonts w:ascii="Times New Roman;serif" w:hAnsi="Times New Roman;serif"/>
                  <w:b w:val="false"/>
                  <w:strike w:val="false"/>
                  <w:dstrike w:val="false"/>
                  <w:color w:val="000000"/>
                  <w:sz w:val="20"/>
                  <w:u w:val="none"/>
                  <w:effect w:val="none"/>
                </w:rPr>
                <w:t>Mine Safety Disclosures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15">
              <w:r>
                <w:rPr>
                  <w:rStyle w:val="InternetLink"/>
                  <w:rFonts w:ascii="Times New Roman;serif" w:hAnsi="Times New Roman;serif"/>
                  <w:b w:val="false"/>
                  <w:color w:val="0000FF"/>
                  <w:sz w:val="20"/>
                  <w:u w:val="singl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18">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18">
              <w:r>
                <w:rPr>
                  <w:rStyle w:val="InternetLink"/>
                  <w:rFonts w:ascii="Times New Roman;serif" w:hAnsi="Times New Roman;serif"/>
                  <w:b w:val="false"/>
                  <w:color w:val="0000FF"/>
                  <w:sz w:val="20"/>
                  <w:u w:val="single"/>
                </w:rPr>
                <w:t>37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24">
              <w:r>
                <w:rPr>
                  <w:rStyle w:val="InternetLink"/>
                  <w:rFonts w:ascii="Times New Roman;serif" w:hAnsi="Times New Roman;serif"/>
                  <w:b w:val="false"/>
                  <w:strike w:val="false"/>
                  <w:dstrike w:val="false"/>
                  <w:color w:val="000000"/>
                  <w:sz w:val="20"/>
                  <w:u w:val="none"/>
                  <w:effect w:val="none"/>
                </w:rPr>
                <w:t>Exhibits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24">
              <w:r>
                <w:rPr>
                  <w:rStyle w:val="InternetLink"/>
                  <w:rFonts w:ascii="Times New Roman;serif" w:hAnsi="Times New Roman;serif"/>
                  <w:b w:val="false"/>
                  <w:color w:val="0000FF"/>
                  <w:sz w:val="20"/>
                  <w:u w:val="single"/>
                </w:rPr>
                <w:t>38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e2049b7d6ec4562bcc78d9f38d2a9ef_127">
              <w:r>
                <w:rPr>
                  <w:rStyle w:val="InternetLink"/>
                  <w:rFonts w:ascii="Times New Roman;serif" w:hAnsi="Times New Roman;serif"/>
                  <w:b w:val="false"/>
                  <w:strike w:val="false"/>
                  <w:dstrike w:val="false"/>
                  <w:color w:val="000000"/>
                  <w:sz w:val="20"/>
                  <w:u w:val="none"/>
                  <w:effect w:val="none"/>
                </w:rPr>
                <w:t>Signatures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e2049b7d6ec4562bcc78d9f38d2a9ef_127">
              <w:r>
                <w:rPr>
                  <w:rStyle w:val="InternetLink"/>
                  <w:rFonts w:ascii="Times New Roman;serif" w:hAnsi="Times New Roman;serif"/>
                  <w:b w:val="false"/>
                  <w:color w:val="0000FF"/>
                  <w:sz w:val="20"/>
                  <w:u w:val="single"/>
                </w:rPr>
                <w:t>39</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erif" w:hAnsi="Times New Roman;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erif" w:hAnsi="Times New Roman;serif"/>
          <w:b w:val="false"/>
          <w:color w:val="000000"/>
          <w:sz w:val="20"/>
        </w:rPr>
        <w:t xml:space="preserve">, those set forth in Part II, Item 1A, “Risk Factors,” and other factors set forth in other parts of this Quarterly Report on Form 10-Q as well as in Part I, Item 1A, “Risk Factors” in our Annual Report on Form 10-K for the fiscal year ended December 31, 2025 (the “Annual Report”), filed with the Securities and Exchange Commission (“SEC”) on February 25, 2026. Furthermore, such forward-looking statements speak only as of the date of this report. Except as required by law, we undertake no obligation to update any forward-looking statements to reflect events or circumstances after the date of such statements. </w:t>
      </w:r>
      <w:r>
        <w:rPr>
          <w:rFonts w:ascii="Times New Roman;serif" w:hAnsi="Times New Roman;serif"/>
          <w:b w:val="false"/>
          <w:color w:val="000000"/>
          <w:sz w:val="20"/>
          <w:shd w:fill="FFFFFF" w:val="clear"/>
        </w:rPr>
        <w:t xml:space="preserve">These forward-looking statements include, but are not limited to, statements concerning our expectations regarding our future results of operations and financial condition, including our expectations regarding revenue growth, Adjusted EBITDA margin expansion and our ability to achieve or maintain profitability; our ability to continue to launch new products; our ability to attract and retain customers; our ability to execute on and to continue driving benefits from our Transformation Pillars of Brand Maximization, Margin Enhancement, and Operating Discipline; our timeline for and ability to successfully implement, execute, and derive benefits from our Powering Honest Growth program (as defined below), statements regarding the intended effect of Powering Honest Growth and our expectations regarding the estimated costs, benefits, timing of such costs and benefits and timing of completion of Powering Honest Growth; our pricing, marketing, and distribution strategies; our continued focus on research, development and innovation; our expectations regarding consumer demand or behavior and the timing and amount of orders from our largest customers; </w:t>
      </w:r>
      <w:r>
        <w:rPr>
          <w:rFonts w:ascii="Times New Roman;serif" w:hAnsi="Times New Roman;serif"/>
          <w:b w:val="false"/>
          <w:color w:val="000000"/>
          <w:sz w:val="20"/>
        </w:rPr>
        <w:t xml:space="preserve">our ability to accelerate or continue growth in the high-margin categories and to offset declines in other categories; </w:t>
      </w:r>
      <w:r>
        <w:rPr>
          <w:rFonts w:ascii="Times New Roman;serif" w:hAnsi="Times New Roman;serif"/>
          <w:b w:val="false"/>
          <w:color w:val="000000"/>
          <w:sz w:val="20"/>
          <w:shd w:fill="FFFFFF" w:val="clear"/>
        </w:rPr>
        <w:t>the effect of macroeconomic factors, including supply chain disruptions, tariffs, inflationary pressures, geopolitical uncertainty and any financial market instability;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6"/>
        <w:gridCol w:w="2304"/>
        <w:gridCol w:w="2235"/>
        <w:gridCol w:w="218"/>
        <w:gridCol w:w="858"/>
        <w:gridCol w:w="113"/>
        <w:gridCol w:w="109"/>
        <w:gridCol w:w="109"/>
        <w:gridCol w:w="109"/>
        <w:gridCol w:w="246"/>
        <w:gridCol w:w="965"/>
        <w:gridCol w:w="183"/>
      </w:tblGrid>
      <w:tr>
        <w:trPr/>
        <w:tc>
          <w:tcPr>
            <w:tcW w:w="275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49,661 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72,501 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200,671 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202,433 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220,124 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50,900 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53,104 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June 30, 2026 and December 31, 2025, none issued or outstanding as of June 30, 2026 and December 31, 2025</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June 30, 2026 and December 31, 2025; 114,663,122 and 112,809,637 shares issued and outstanding as of June 30, 2026 and December 31, 2025, respectively</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5,575,583 and 0 shares as of June 30, 2026 and December 31, 2025, respectively</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676,124 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(490,233)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167,020 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220,124 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225,407 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6"/>
        <w:gridCol w:w="1169"/>
        <w:gridCol w:w="1084"/>
        <w:gridCol w:w="275"/>
        <w:gridCol w:w="921"/>
        <w:gridCol w:w="119"/>
        <w:gridCol w:w="119"/>
        <w:gridCol w:w="119"/>
        <w:gridCol w:w="119"/>
        <w:gridCol w:w="275"/>
        <w:gridCol w:w="921"/>
        <w:gridCol w:w="119"/>
        <w:gridCol w:w="109"/>
        <w:gridCol w:w="109"/>
        <w:gridCol w:w="109"/>
        <w:gridCol w:w="241"/>
        <w:gridCol w:w="945"/>
        <w:gridCol w:w="113"/>
        <w:gridCol w:w="113"/>
        <w:gridCol w:w="113"/>
        <w:gridCol w:w="113"/>
        <w:gridCol w:w="241"/>
        <w:gridCol w:w="945"/>
        <w:gridCol w:w="168"/>
      </w:tblGrid>
      <w:tr>
        <w:trPr/>
        <w:tc>
          <w:tcPr>
            <w:tcW w:w="16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87,771 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40,360 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73,631 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70,027 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6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per share attributable to common stockholders: </w:t>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110,734,911 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110,991,363 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111,771,587 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110,275,931 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113,106,023 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114,041,772 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113,355,168 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114,310,420 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3387"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260"/>
        <w:gridCol w:w="445"/>
        <w:gridCol w:w="136"/>
        <w:gridCol w:w="109"/>
        <w:gridCol w:w="109"/>
        <w:gridCol w:w="109"/>
        <w:gridCol w:w="225"/>
        <w:gridCol w:w="225"/>
        <w:gridCol w:w="226"/>
        <w:gridCol w:w="109"/>
        <w:gridCol w:w="109"/>
        <w:gridCol w:w="109"/>
        <w:gridCol w:w="292"/>
        <w:gridCol w:w="562"/>
        <w:gridCol w:w="152"/>
        <w:gridCol w:w="260"/>
        <w:gridCol w:w="260"/>
        <w:gridCol w:w="26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109,159,697 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1,253,999 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110,488,696 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662,284 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(481,938)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1,093,352 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111,600,237 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396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260"/>
        <w:gridCol w:w="445"/>
        <w:gridCol w:w="136"/>
        <w:gridCol w:w="109"/>
        <w:gridCol w:w="109"/>
        <w:gridCol w:w="109"/>
        <w:gridCol w:w="488"/>
        <w:gridCol w:w="488"/>
        <w:gridCol w:w="226"/>
        <w:gridCol w:w="109"/>
        <w:gridCol w:w="109"/>
        <w:gridCol w:w="109"/>
        <w:gridCol w:w="211"/>
        <w:gridCol w:w="736"/>
        <w:gridCol w:w="109"/>
        <w:gridCol w:w="260"/>
        <w:gridCol w:w="260"/>
        <w:gridCol w:w="26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112,809,637 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670,536 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Repurchase of common stock, </w:t>
            </w:r>
            <w:r>
              <w:rPr>
                <w:rFonts w:ascii="Times New Roman;serif" w:hAnsi="Times New Roman;serif"/>
                <w:b w:val="false"/>
                <w:color w:val="231F20"/>
                <w:sz w:val="20"/>
              </w:rPr>
              <w:t>net of excise taxes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917,646 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113,727,283 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1,052,672 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673,001 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(500,920)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Repurchase of common stock, </w:t>
            </w:r>
            <w:r>
              <w:rPr>
                <w:rFonts w:ascii="Times New Roman;serif" w:hAnsi="Times New Roman;serif"/>
                <w:b w:val="false"/>
                <w:color w:val="231F20"/>
                <w:sz w:val="20"/>
              </w:rPr>
              <w:t>net of excise taxes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4,522,911 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888,315 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47,524 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114,663,122 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5,575,583 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676,124 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(490,233)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20"/>
        <w:gridCol w:w="2295"/>
        <w:gridCol w:w="2311"/>
        <w:gridCol w:w="245"/>
        <w:gridCol w:w="962"/>
        <w:gridCol w:w="126"/>
        <w:gridCol w:w="126"/>
        <w:gridCol w:w="126"/>
        <w:gridCol w:w="126"/>
        <w:gridCol w:w="245"/>
        <w:gridCol w:w="840"/>
        <w:gridCol w:w="183"/>
      </w:tblGrid>
      <w:tr>
        <w:trPr/>
        <w:tc>
          <w:tcPr>
            <w:tcW w:w="262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7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ROU assets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(11,386)</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long-term liabilities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2021 ESPP</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(18,953)</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12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89,581 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6"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2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expenses</w:t>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 percentages and as otherwise indicated)</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 for everyone from babies to adults. 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2025.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2025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Restructuring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As further described in Note 12, “Restructuring” during 2025, the Company commenced a restructuring plan, Transformation 2.0: Powering Honest Growth (“Powering Honest Growth”).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the Company's cost structure by rightsizing selling, general and administrative expenses and implementing supply chain efficiencies. Such restructuring costs include employee termination benefits (one-time arrangements), termination of contractual obligations, non-cash asset charges, primarily including technology taken out of service, and other direct incremental costs. The Company recorded employee termination liabilities once the Company committed to a plan and communicated such terminations to employees. Other costs associated with a restructuring initiative, such as consulting and professional fees, product or geographical exit costs, are recognized in the period in which the liability is incurred. Accrued restructuring costs as of June 30, 2026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0"/>
        </w:rPr>
        <w:t xml:space="preserve">December 31, 2025 are recorded within Accrued Expenses in the condensed consolidated balance sheets. Refer to Note 12, “Restructuring” included in these condensed consolidated financial statements for more information on the Company's restructuring initiatives.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performance based on consolidated net income (loss) to monitor budget versus actual results and period-over-period comparisons.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prior to December 31, 2025,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regularly provide the CODM with more detailed segment expense information beyond what is included in the condensed consolidated statements of comprehensive income. The significant expense categories which are used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manage operations are those reflected in the Company's condensed consolidated statements of comprehensive income. Refer to the condensed consolidated statements of comprehensive income included in the condensed consolidated financial statements included elsewhere in this Quarterly Report on Form 10-Q for more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substantially all of the Company’s revenue is from customers located in the United States.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certain accounting matters and estimates that generally require consideration of forecasted information in context with the information reasonably available to the Company as of June 30, 2026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As discussed further below, the Company elected the practical expedient to assume that current conditions as of the balance sheet date will not change for the remaining life of the accounts receivable. The allowance for credit losses was $0.2 million as of June 30, 2026 and December 31, 2025.</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ind w:left="0" w:right="0" w:hanging="81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intangible assets are also subject to measurement at fair value on a non-recurring basis if they are deemed to be impaired as a result of an impairment review. The fair value of such assets is measured using Level 3 inputs in the fair value hierarchy.</w:t>
      </w:r>
    </w:p>
    <w:p>
      <w:pPr>
        <w:pStyle w:val="TextBody"/>
        <w:bidi w:val="0"/>
        <w:spacing w:lineRule="auto" w:line="268" w:before="0" w:after="0"/>
        <w:jc w:val="both"/>
        <w:rPr/>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 Adopted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July 2025, the FASB issued ASU No.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This update creates a practical expedient for estimating expected credit losses on current accounts receivable and current contract assets arising from transactions under ASC 606 by assuming that current conditions at the balance sheet date will remain unchanged over the life of the asset. For public business entities, the amendments in this update are effective for annual periods beginning after December 15, 2025, and interim periods within those annual reporting periods. The adoption of ASU No. 2025-05 did not have a material impact on the Company's consolidated financial statements or related disclosures.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 Not Yet Adopted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update is to improve the disclosures of components of certain income 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Internal-Use Software (Subtopic 350-40): Targeted Improvements to the Accounting for Internal-Use Software</w:t>
      </w:r>
      <w:r>
        <w:rPr>
          <w:rFonts w:ascii="Times New Roman;serif" w:hAnsi="Times New Roman;serif"/>
          <w:b w:val="false"/>
          <w:color w:val="000000"/>
          <w:sz w:val="20"/>
        </w:rPr>
        <w:t>. This update is to modernize the accounting for software costs that are accounted for under Subtopic 350-40, Intangibles-Goodwill and Other-Internal-Use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The adoption of ASU No. 2025-06 is not expected to have a material impact on the Company's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333333"/>
          <w:sz w:val="20"/>
        </w:rPr>
      </w:pPr>
      <w:r>
        <w:rPr>
          <w:rFonts w:ascii="Times New Roman;serif" w:hAnsi="Times New Roman;serif"/>
          <w:b/>
          <w:color w:val="333333"/>
          <w:sz w:val="20"/>
        </w:rPr>
        <w:t xml:space="preserve">3.Revenue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Disaggregated Revenue</w:t>
      </w:r>
    </w:p>
    <w:tbl>
      <w:tblPr>
        <w:tblW w:w="9513" w:type="dxa"/>
        <w:jc w:val="left"/>
        <w:tblInd w:w="0" w:type="dxa"/>
        <w:tblLayout w:type="fixed"/>
        <w:tblCellMar>
          <w:top w:w="28" w:type="dxa"/>
          <w:left w:w="28" w:type="dxa"/>
          <w:bottom w:w="28" w:type="dxa"/>
          <w:right w:w="28" w:type="dxa"/>
        </w:tblCellMar>
      </w:tblPr>
      <w:tblGrid>
        <w:gridCol w:w="1102"/>
        <w:gridCol w:w="970"/>
        <w:gridCol w:w="973"/>
        <w:gridCol w:w="275"/>
        <w:gridCol w:w="943"/>
        <w:gridCol w:w="142"/>
        <w:gridCol w:w="142"/>
        <w:gridCol w:w="142"/>
        <w:gridCol w:w="142"/>
        <w:gridCol w:w="275"/>
        <w:gridCol w:w="943"/>
        <w:gridCol w:w="142"/>
        <w:gridCol w:w="109"/>
        <w:gridCol w:w="109"/>
        <w:gridCol w:w="109"/>
        <w:gridCol w:w="237"/>
        <w:gridCol w:w="930"/>
        <w:gridCol w:w="122"/>
        <w:gridCol w:w="122"/>
        <w:gridCol w:w="122"/>
        <w:gridCol w:w="122"/>
        <w:gridCol w:w="237"/>
        <w:gridCol w:w="930"/>
        <w:gridCol w:w="173"/>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Wipes</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39,471 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28,742 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56,429 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Personal Care and Other</w:t>
            </w:r>
            <w:r>
              <w:rPr>
                <w:rFonts w:ascii="Times New Roman;serif" w:hAnsi="Times New Roman;serif"/>
                <w:b w:val="false"/>
                <w:color w:val="000000"/>
                <w:sz w:val="13"/>
              </w:rPr>
              <w:t>(1)</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42,496 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Diapers</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25,622 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41,021 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Honest.com, Apparel and Canada</w:t>
            </w:r>
            <w:r>
              <w:rPr>
                <w:rFonts w:ascii="Times New Roman;serif" w:hAnsi="Times New Roman;serif"/>
                <w:b w:val="false"/>
                <w:color w:val="000000"/>
                <w:sz w:val="13"/>
              </w:rPr>
              <w:t>(2)</w:t>
            </w:r>
            <w:r>
              <w:rPr>
                <w:color w:val="000000"/>
              </w:rPr>
              <w:t xml:space="preserve"> </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83,303 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_______________</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(1) Includes $1.5 million reduction to revenue related to write-off of uncommitted marketing and transportation credits. See below under "Non-Monetary Transactions" for additional information for the three and six months ended June 30, 2026.</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(2) For the three and six months ended June 30, 2026, represents revenue related to the partial liquidation of the Company's remaining apparel inventory. See below under "Licensing and Inventory Purchase Agreement" for additional information.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Direct-to-Consumer</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December 31, 2025, the Company no longer sells direct-to-consumer through the Company’s website. For direct sales to the consumer through the Company's website, Honest.com, the Company's performance obligation consisted of the sale of finished goods to the consumer. Consumers may have purchased products at any time or entered into subscription arrangements. Consumers placed orders online in accordance with the Company's standard terms and conditions and authorized payment when the order was placed. Credit cards were charged at the time of shipment and payments were typically processed within two to three business days. For subscription arrangements, consumers signed up to receive products on a periodic basis. Subscriptions were cancellable at any time without penalty, and no amounts were collected from the consumer until products were shipped. Revenue was recognized when transfer of control to the consumer took place, which is when the product was delivered to the carrier. Sales taxes collected from consumers were accounted for on a net basis and were excluded from revenue. The Company did not generate any revenue from Honest.com for three and six months ended June 30, 2026. Revenue generated from Honest.com was 11% of the Company's total revenue during both the three and six months ended June 30, 2025.</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 the past entered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six months ended June 30, 2026 and 2025,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made the decision to discontinue further utilization of the uncommitted marketing and transportation credits. As a result, the Company recorded a $1.5 million reduction to revenue in the condensed consolidated statements of comprehensive income and a corresponding write-off of $1.5 million of remaining uncommitted marketing and transportation credit assets, consisting of a $0.8 million reduction to prepaid expenses and other current assets and a $0.7 million reduction to other assets in the condensed consolidated balance sheets. As of June 30, 2026, $0.1 million committed trade credits remain that are expected to be utilized in the third quarter of 2026.</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above, the Company did not recognize any revenue or associated cost of revenue related to these credits during the three and six months ended June 30, 2026 and 2025.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For the six months ended June 30, 2026 and 2025, the Company recorded no impairment losses related to these credits and used an aggregate of $0.4 million and $0.3 million of credits, respectively.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Licensing and Inventory Purchase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the Company entered into a License Agreement (the “License Agreement”) and an accompanying Inventory Purchase Agreement with O5-MD, LLC and O5 North ULC (collectively, the “Licensee”). The License Agreement grants the Licensee an exclusive license to manufacture, distribute, promote, and sell certain apparel, accessories, bath and bedding products, and footwear under "The Honest Company" and "Honest Baby" trademarks. The primary territory for the License Agreement covers the United States, Canada, and Mexico, as well as specified international club and off-price accounts. Under the License Agreement, the Company will earn royalty revenue on the Licensee's net sales. The initial term of the License Agreement expires on December 31, 2030. The Licensee holds the option to renew the agreement for two additional successive five-year terms, provided it complies with all material terms, meets required notice periods, among other requirements. For the three and six months ended June 30, 2026, the Company did not recognize any royalty revenue with respect to the License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License Agreement, the Licensee agreed to purchase the Company's remaining on-hand inventory of licensed apparel products for a total purchase price of $10.0 million, subject to certain adjustments for inventory deficiencies or missing certifications. The purchase price is payable in installments, with four 25% payments tied to the delivery timeline. For the three and six months ended June 30, 2026, the Company recognized $3.1 million in revenue and $3.1 million in cost of revenue related to the partial liquidation of the remaining apparel inventory, that was delivered to the Licensee at its carrying value, resulting in no gross profit. These transactions resulted in a corresponding increase in accounts receivable and a decrease in inventory of $3.1 million each.</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and recorded at fair value on a recurring basis consist of the following as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71,837 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5.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2026, the Company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the Company’s accounts receivable and inventory as reduced by certain reserves, if any. The 2026 Credit Facility includes an uncommitted accordion feature that allows for increases in the Commitment Amount to as much as an additional $35.0 million, for up to $70.0 million in potential revolving commitments. The 2026 Credit Facility is subject to customary fees for loan facilities of this type, including a commitment fee based on the average daily undrawn portion of the 2026 Credit Facility. The Company recognizes the commitment fee as incurred in interest and other income (expense), net in the condensed consolidated statements of comprehensive income. For the three and six months ended June 30, 2026, the commitment fee incurred was immaterial. As of June 30, 2026, there was $2.7 million of outstanding letters of credit. As of June 30, 2026, there was no outstanding borrowing under the 2026 Credit Facility, but the letters of credit reduce the amount available under the 2026 Credit Facility on a dollar-for-dollar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2026 Credit Facility will be, at the Company’s option, either (a) the Adjusted Term SOFR Rate (subject to a 0.00% floor), plus a margin ranging from 1.75% to 2.25% or (b) the CB floating rate, (i) plus a margin of 0.00% or 0.25% or (ii) minus a margin of 0.25%. The margin will be based upon the Company’s leverage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will terminate and borrowings thereunder, if any, will be due in full on March 31, 2029. Debt under the 2026 Credit Facility will be guaranteed by substantially all of the Company’s material domestic subsidiaries and will be secured by substantially all of the Company’s and such subsidiaries’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the Company’s ability to sell assets, make investments and acquisitions, incur indebtedness, grant liens, change the Company’s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June 30, 2026, the Company is in compliance with all covenants under the 2026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 xml:space="preserve">6.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595" w:type="dxa"/>
        <w:jc w:val="left"/>
        <w:tblInd w:w="0" w:type="dxa"/>
        <w:tblLayout w:type="fixed"/>
        <w:tblCellMar>
          <w:top w:w="28" w:type="dxa"/>
          <w:left w:w="28" w:type="dxa"/>
          <w:bottom w:w="28" w:type="dxa"/>
          <w:right w:w="28" w:type="dxa"/>
        </w:tblCellMar>
      </w:tblPr>
      <w:tblGrid>
        <w:gridCol w:w="1167"/>
        <w:gridCol w:w="1027"/>
        <w:gridCol w:w="1030"/>
        <w:gridCol w:w="258"/>
        <w:gridCol w:w="883"/>
        <w:gridCol w:w="133"/>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Payroll and payroll related expenses</w:t>
            </w:r>
            <w:r>
              <w:rPr>
                <w:rFonts w:ascii="Times New Roman;serif" w:hAnsi="Times New Roman;serif"/>
                <w:b w:val="false"/>
                <w:color w:val="000000"/>
                <w:sz w:val="13"/>
              </w:rPr>
              <w:t>(1)</w:t>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rent</w:t>
            </w:r>
            <w:r>
              <w:rPr>
                <w:rFonts w:ascii="Times New Roman;serif" w:hAnsi="Times New Roman;serif"/>
                <w:b w:val="false"/>
                <w:color w:val="000000"/>
                <w:sz w:val="13"/>
              </w:rPr>
              <w:t>(2)</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restructuring</w:t>
            </w:r>
            <w:r>
              <w:rPr>
                <w:rFonts w:ascii="Times New Roman;serif" w:hAnsi="Times New Roman;serif"/>
                <w:b w:val="false"/>
                <w:color w:val="000000"/>
                <w:sz w:val="13"/>
              </w:rPr>
              <w:t>(3)</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accrued expenses</w:t>
            </w:r>
            <w:r>
              <w:rPr>
                <w:rFonts w:ascii="Times New Roman;serif" w:hAnsi="Times New Roman;serif"/>
                <w:b w:val="false"/>
                <w:color w:val="000000"/>
                <w:sz w:val="13"/>
              </w:rPr>
              <w:t>(4)</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35,685 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(1) Includes $0.2 million of executive transition related expenses as of December 31, 2025. </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 Represents short-term operating lease liabilities. Refer to Note 11, "Leases" included in these condensed consolidated financial statements for more information on leases.</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(3) Refer to Note 12, "Restructuring" included in these condensed consolidated financial statements for more information on the Company's restructuring.</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(4) Includes estimated tariff refund obligations to third-party manufacturers. Refer to Note 7, "Commitments and Contingencies" included in these condensed consolidated financial statements for more information on tariff refunds.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erif" w:hAnsi="Times New Roman;serif"/>
          <w:b/>
          <w:color w:val="000000"/>
          <w:sz w:val="20"/>
        </w:rPr>
        <w:t>7.    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condensed consolidated financial statements.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complaint was filed by Hayato Ono derivatively on behalf of the Company on November 29, 2021, in the U.S. District Court for the Central District of California (“Central District of California”), alleging breach of fiduciary duties, unjust enrichment, waste, gross mismanagement, and federal securities law violations by the Company’s directors and certain officers (the “Ono Action”). On December 17, 2021, a second derivative complaint containing similar allegations against the Company’s directors and certain officers was filed by Mike Wang in the Central District of California and consolidated with the Ono Action (together, the “California Federal Derivative Action”). A third derivative complaint was filed by Leah Bisch and Raluca Corobana in California Superior Court for the County of Los Angeles on January 3, 2022 (the “California State Derivative Action”), with similar allegations. A fourth derivative complaint was filed by David Butler in the U.S. District Court for the District of Delaware (the “District of Delaware Action”) on October 19, 2022, with similar allegations. Each of these federal and state court derivative cases have been stayed. On December 18, 2025, the parties to all derivative cases reached an agreement in principle to settle the matters. On March 26, 2026, a motion for preliminary approval of the settlement was filed in the California Federal Derivative Action. A hearing on the motion for preliminary approval was held on April 29, 2026 and the final approval hearing was held on July 13, 2026. The settlement received final approval from the Central District of California on July 13, 2026. The Company recorded the settlement amount of $1.2 million within accrued expenses and a corresponding insurance recovery of $1.2 million within prepaids and other current assets related to the legal settlement on the consolidated balance sheet as of June 30, 2026, and December 31, 2025. The determination that the recorded insurance recovery receivable was probable of collection was based on the terms of the applicable insurance policies, settlement agreement, and communications with the insurers. Pursuant to the final approval of settlement in the California Federal Derivative Action, on July 17, 2026, the parties in the District of Delaware Action filed a stipulation to voluntarily dismiss the action with prejudice, which the court granted on July 20, 2026. On July 28, 2026, the parties in the California State Derivative Action filed a stipulation to voluntarily dismiss the action with prejudice, which the court granted on July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filed a complaint in the Central District of California alleging that Butterblu, LLC (“Butterblu”) breached the supplier services agreement, as amended, that the Company and Butterblu had entered into as of August 15, 2022 (the "Supplier Services Agreement") pursuant to which Butterblu provides certain design, manufacturing, sales and marketing services to the Company in connection with the Company's apparel products. The Company voluntarily dismissed the complaint on November 21, 2025 related to a temporary extension of the Supplier Services Agreement. Following the conclusion of the temporary extension of the Supplier Services Agreement in December 2025, the Company filed an updated complaint on January 2, 2026 (the "Federal Court Action"). The Company has requested monetary damages and declaratory relief as determined by the Central District of California. On February 11, 2026, Butterblu filed a complaint against the Company in the California Superior Court for the County of Los Angeles alleging breach of contract, breach of implied contract, breach of implied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covenant of good faith and fair dealing, quantum meruit, promissory estoppel, intentional interference with contract, and intentional interference with prospective economic relations related to the parties' obligations under the Supplier Services Agreement. On May 8, 2026, Butterblu filed a motion to dismiss the Federal Court Action. On July 29, 2026, the Central District of California granted in part and denied in part Butterblu's motion to dismiss the Federal Court Action. These matters are in the preliminary stages of litigation with uncertain outcomes at this time. Therefore, the Company cannot estimate the probability of gain or loss, or make an estimate of the gain or loss or range of gain or loss in these matters.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Following the February 2026 U.S. Supreme Court ruling that invalidated specific tariffs under the International Emergency Economic Powers Act (“IEEPA”), the Company is evaluating its eligibility for refunds of previously paid import duties. Beginning in April 2026, the Company began filing refund claims with U.S. Customs and Border Protection related to eligible IEEPA tariff payments made. During the three and six months ended June 30, 2026, the Company received IEEPA tariff refunds totaling $11.9 million, which were recognized as a $6.6 million</w:t>
      </w:r>
      <w:r>
        <w:rPr>
          <w:color w:val="000000"/>
        </w:rPr>
        <w:t xml:space="preserve"> </w:t>
      </w:r>
      <w:r>
        <w:rPr>
          <w:rFonts w:ascii="Times New Roman;serif" w:hAnsi="Times New Roman;serif"/>
          <w:b w:val="false"/>
          <w:color w:val="000000"/>
          <w:sz w:val="20"/>
        </w:rPr>
        <w:t>reduction in cost of revenue and a $0.5 million increase in interest income on the condensed consolidated statements of comprehensive income, and as a $0.6 million reduction in inventory on the condensed consolidated balance sheets. Due to the inherent uncertainty surrounding the timing and recoverability of additional refunds, no receivable or corresponding offset to expense or asset was recognized for future refunds as of June 30, 2026. Management continues to monitor these developments, including potential refund obligations to third-party manufacturers. As of June 30, 2026, the Company estimated a liability of $4.2 million included in accrued expenses on the condensed consolidated balance sheets related to these refund obligations to third-party manufacturers.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June 30, 2026 and December 31, 2025,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4,252,490 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(18,313)</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June 30, 2026</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4,234,177 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Equity Incentive Plan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2026, 4,498,671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2023 Inducement Plan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June 30, 2026, there were 738,806 shares available for future grant under the 2023 Inducement Plan.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under the 2021 Equity Incentive Plan and the 2023 Inducement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4"/>
        <w:gridCol w:w="627"/>
        <w:gridCol w:w="630"/>
        <w:gridCol w:w="553"/>
        <w:gridCol w:w="553"/>
        <w:gridCol w:w="554"/>
        <w:gridCol w:w="134"/>
        <w:gridCol w:w="134"/>
        <w:gridCol w:w="134"/>
        <w:gridCol w:w="775"/>
        <w:gridCol w:w="580"/>
        <w:gridCol w:w="582"/>
        <w:gridCol w:w="109"/>
        <w:gridCol w:w="109"/>
        <w:gridCol w:w="109"/>
        <w:gridCol w:w="503"/>
        <w:gridCol w:w="985"/>
        <w:gridCol w:w="172"/>
        <w:gridCol w:w="156"/>
        <w:gridCol w:w="156"/>
        <w:gridCol w:w="156"/>
        <w:gridCol w:w="527"/>
        <w:gridCol w:w="956"/>
        <w:gridCol w:w="297"/>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Directors, Officers and Employees</w:t>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2025</w:t>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418,924 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5,266,468 </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447,917 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5,059,241 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(362,094)</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(1,443,867)</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(949,396)</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June 30, 2026</w:t>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504,747 </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7,932,446 </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$23.8 million of unrecognized stock-based compensation expense related to unvested RSUs, which is expected to be recognized over a weighted-average period of 2.9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2026, 1,124,667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six months ended June 30, 2026, 47,524 shares were purchased under the 2021 ESPP. As of June 30, 2026, the Company had 5,735,492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input assumptions used in the Black-Scholes option-pricing model to estimate the grant-date fair value of the 2021 ESPP:</w:t>
      </w:r>
    </w:p>
    <w:tbl>
      <w:tblPr>
        <w:tblW w:w="4402" w:type="dxa"/>
        <w:jc w:val="left"/>
        <w:tblInd w:w="0" w:type="dxa"/>
        <w:tblLayout w:type="fixed"/>
        <w:tblCellMar>
          <w:top w:w="28" w:type="dxa"/>
          <w:left w:w="28" w:type="dxa"/>
          <w:bottom w:w="28" w:type="dxa"/>
          <w:right w:w="28" w:type="dxa"/>
        </w:tblCellMar>
      </w:tblPr>
      <w:tblGrid>
        <w:gridCol w:w="1038"/>
        <w:gridCol w:w="912"/>
        <w:gridCol w:w="915"/>
        <w:gridCol w:w="424"/>
        <w:gridCol w:w="424"/>
        <w:gridCol w:w="426"/>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 (in years)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Grant-date fair value per share </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On February 20, 2026, the Company’s Board of Directors approved the Company’s first share repurchase program for up to </w:t>
      </w:r>
      <w:r>
        <w:rPr>
          <w:rFonts w:ascii="Times New Roman;serif" w:hAnsi="Times New Roman;serif"/>
          <w:b w:val="false"/>
          <w:color w:val="000000"/>
          <w:sz w:val="20"/>
        </w:rPr>
        <w:t>$25 million</w:t>
      </w:r>
      <w:r>
        <w:rPr>
          <w:color w:val="231F20"/>
        </w:rPr>
        <w:t xml:space="preserve"> </w:t>
      </w:r>
      <w:r>
        <w:rPr>
          <w:rFonts w:ascii="Times New Roman;serif" w:hAnsi="Times New Roman;serif"/>
          <w:b w:val="false"/>
          <w:color w:val="231F20"/>
          <w:sz w:val="20"/>
        </w:rPr>
        <w:t>of its outstanding common stock. Under the program, share repurchases may be made at the Company’s discretion from time to time in open market transactions or privately negotiated transactions, or by other means, including through Rule 10b5-1 trading plans. The timing and number of shares repurchased under the new program will depend on a variety of factors, including, without limitation, stock price, trading volume, and general business and market conditions. The repurchase program does not obligate the Company to purchase any shares, has no expiration date and may be modified, suspended or terminated at any time. The Company expects to fund repurchases with a combination of existing cash and cash equivalents and cash flows from operations. The Company repurchased approximately 5.6 million</w:t>
      </w:r>
      <w:r>
        <w:rPr>
          <w:color w:val="000000"/>
        </w:rPr>
        <w:t xml:space="preserve"> </w:t>
      </w:r>
      <w:r>
        <w:rPr>
          <w:rFonts w:ascii="Times New Roman;serif" w:hAnsi="Times New Roman;serif"/>
          <w:b w:val="false"/>
          <w:color w:val="231F20"/>
          <w:sz w:val="20"/>
        </w:rPr>
        <w:t xml:space="preserve">shares of common stock, at a weighted average share price of $3.35 per share, for an aggregate amount of approximately $18.7 million, during the </w:t>
      </w:r>
      <w:r>
        <w:rPr>
          <w:rFonts w:ascii="Times New Roman;serif" w:hAnsi="Times New Roman;serif"/>
          <w:b w:val="false"/>
          <w:color w:val="000000"/>
          <w:sz w:val="20"/>
        </w:rPr>
        <w:t>six months ended June 30, 2026</w:t>
      </w:r>
      <w:r>
        <w:rPr>
          <w:rFonts w:ascii="Times New Roman;serif" w:hAnsi="Times New Roman;serif"/>
          <w:b w:val="false"/>
          <w:color w:val="231F20"/>
          <w:sz w:val="20"/>
        </w:rPr>
        <w:t xml:space="preserve">.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approximately </w:t>
      </w:r>
      <w:r>
        <w:rPr>
          <w:rFonts w:ascii="Times New Roman;serif" w:hAnsi="Times New Roman;serif"/>
          <w:b w:val="false"/>
          <w:color w:val="000000"/>
          <w:sz w:val="20"/>
        </w:rPr>
        <w:t>$6.3 million</w:t>
      </w:r>
      <w:r>
        <w:rPr>
          <w:color w:val="231F20"/>
        </w:rPr>
        <w:t xml:space="preserve"> </w:t>
      </w:r>
      <w:r>
        <w:rPr>
          <w:rFonts w:ascii="Times New Roman;serif" w:hAnsi="Times New Roman;serif"/>
          <w:b w:val="false"/>
          <w:color w:val="231F20"/>
          <w:sz w:val="20"/>
        </w:rPr>
        <w:t xml:space="preserve">remained available under the share repurchase program. As of August 5, 2026, </w:t>
      </w:r>
      <w:r>
        <w:rPr>
          <w:rFonts w:ascii="Times New Roman;serif" w:hAnsi="Times New Roman;serif"/>
          <w:b w:val="false"/>
          <w:color w:val="000000"/>
          <w:sz w:val="20"/>
        </w:rPr>
        <w:t>t</w:t>
      </w:r>
      <w:r>
        <w:rPr>
          <w:rFonts w:ascii="Times New Roman;serif" w:hAnsi="Times New Roman;serif"/>
          <w:b w:val="false"/>
          <w:color w:val="231F20"/>
          <w:sz w:val="20"/>
        </w:rPr>
        <w:t xml:space="preserve">he Company repurchased approximately the full </w:t>
      </w:r>
      <w:r>
        <w:rPr>
          <w:rFonts w:ascii="Times New Roman;serif" w:hAnsi="Times New Roman;serif"/>
          <w:b w:val="false"/>
          <w:color w:val="000000"/>
          <w:sz w:val="20"/>
        </w:rPr>
        <w:t>$25.0 million of its outstanding common stock under the share repurchase program</w:t>
      </w:r>
      <w:r>
        <w:rPr>
          <w:rFonts w:ascii="Times New Roman;serif" w:hAnsi="Times New Roman;serif"/>
          <w:b w:val="false"/>
          <w:color w:val="231F20"/>
          <w:sz w:val="20"/>
        </w:rPr>
        <w:t xml:space="preserve">.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 awards under the 2021 Equity Incentive Plan and the 2023 Inducement Plan, 2021 ESPP purchases and stock options, as applicable, are as follows:</w:t>
      </w:r>
    </w:p>
    <w:p>
      <w:pPr>
        <w:pStyle w:val="TextBody"/>
        <w:bidi w:val="0"/>
        <w:spacing w:before="0" w:after="0"/>
        <w:jc w:val="left"/>
        <w:rPr/>
      </w:pPr>
      <w:r>
        <w:rPr/>
      </w:r>
    </w:p>
    <w:tbl>
      <w:tblPr>
        <w:tblW w:w="9919" w:type="dxa"/>
        <w:jc w:val="left"/>
        <w:tblInd w:w="0" w:type="dxa"/>
        <w:tblLayout w:type="fixed"/>
        <w:tblCellMar>
          <w:top w:w="28" w:type="dxa"/>
          <w:left w:w="28" w:type="dxa"/>
          <w:bottom w:w="28" w:type="dxa"/>
          <w:right w:w="28" w:type="dxa"/>
        </w:tblCellMar>
      </w:tblPr>
      <w:tblGrid>
        <w:gridCol w:w="1248"/>
        <w:gridCol w:w="1098"/>
        <w:gridCol w:w="1103"/>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9.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(loss)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per share attributable to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8"/>
        <w:gridCol w:w="1154"/>
        <w:gridCol w:w="1161"/>
        <w:gridCol w:w="288"/>
        <w:gridCol w:w="951"/>
        <w:gridCol w:w="133"/>
        <w:gridCol w:w="133"/>
        <w:gridCol w:w="133"/>
        <w:gridCol w:w="133"/>
        <w:gridCol w:w="302"/>
        <w:gridCol w:w="884"/>
        <w:gridCol w:w="133"/>
        <w:gridCol w:w="109"/>
        <w:gridCol w:w="109"/>
        <w:gridCol w:w="109"/>
        <w:gridCol w:w="269"/>
        <w:gridCol w:w="919"/>
        <w:gridCol w:w="127"/>
        <w:gridCol w:w="127"/>
        <w:gridCol w:w="127"/>
        <w:gridCol w:w="127"/>
        <w:gridCol w:w="302"/>
        <w:gridCol w:w="884"/>
        <w:gridCol w:w="183"/>
      </w:tblGrid>
      <w:tr>
        <w:trPr/>
        <w:tc>
          <w:tcPr>
            <w:tcW w:w="140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and per share values)</w:t>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8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common stockholders — basic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 diluted</w:t>
            </w:r>
          </w:p>
        </w:tc>
        <w:tc>
          <w:tcPr>
            <w:tcW w:w="288"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8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 basic </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110,734,911 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110,991,363 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111,771,587 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110,275,931 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2021 ESPP</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RSUs</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2,363,246 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3,050,409 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1,579,648 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3,888,732 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stock options</w:t>
            </w:r>
          </w:p>
        </w:tc>
        <w:tc>
          <w:tcPr>
            <w:tcW w:w="123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145,757 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2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113,106,023 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114,041,772 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113,355,168 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114,310,420 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shareholders:</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8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shares were excluded from the computation of diluted net income per share because including them would have been antidilutive: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42"/>
        <w:gridCol w:w="895"/>
        <w:gridCol w:w="899"/>
        <w:gridCol w:w="720"/>
        <w:gridCol w:w="327"/>
        <w:gridCol w:w="291"/>
        <w:gridCol w:w="291"/>
        <w:gridCol w:w="291"/>
        <w:gridCol w:w="291"/>
        <w:gridCol w:w="720"/>
        <w:gridCol w:w="327"/>
        <w:gridCol w:w="291"/>
        <w:gridCol w:w="109"/>
        <w:gridCol w:w="109"/>
        <w:gridCol w:w="109"/>
        <w:gridCol w:w="720"/>
        <w:gridCol w:w="302"/>
        <w:gridCol w:w="266"/>
        <w:gridCol w:w="266"/>
        <w:gridCol w:w="266"/>
        <w:gridCol w:w="266"/>
        <w:gridCol w:w="720"/>
        <w:gridCol w:w="302"/>
        <w:gridCol w:w="385"/>
      </w:tblGrid>
      <w:tr>
        <w:trPr/>
        <w:tc>
          <w:tcPr>
            <w:tcW w:w="104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4,236,488 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3,683,015 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4,243,478 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1,867,008 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1,978,050 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472,924 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3,055,641 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391,643 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22,154 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6,241,263 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4,179,494 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7,336,898 </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2,280,805 </w:t>
            </w:r>
          </w:p>
        </w:tc>
        <w:tc>
          <w:tcPr>
            <w:tcW w:w="3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quarterly provisions for income taxes, the Company uses the annual estimated effective tax rate applied to the actual year-to-date income or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However, given the Company's recent profitability, the Company believes that there is a reasonable possibility that, in the near term, sufficient positive evidence may become available that supports the release of a portion of the Company's valuation allowance, which would result in the recognition of certain U.S. deferred tax assets and a decrease to income tax expense for the period in which the release is recorded. The exact timing and amount of the valuation allowance release if any would be subject to change based on the level of profitability that the Company can achieve.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has not recorded any uncertain tax positions and has not recognized interest or penalties in the condensed consolidated statements of comprehensive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less than one to less than five years.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2026, the Company entered into a corporate office lease agreement (the "Lease") which will commence on the later of (i) March 1, 2027, and (ii) the date of “substantial completion” of the “tenant improvements” (each as defined in the Lease) (the “Contractual Lease Commencement Date”). As of June 30, 2026, the Company has not reached the lease commencement date under ASC 842, which could be earlier than the Contractual Lease Commencement Date. The initial term of the Lease is ten years from the Contractual Lease Commencement Date (the “Initial Term”) with one five-year renewal option. The Company will receive a ten-month rent abatement applied to the first ten months of the third lease year. During the Initial Term, the total base rent over the Initial Term, net of rent abatement, is expected to be approximately $30.7 million. In addition to base rent, the Company will be required to pay certain additional amounts for taxes, insurance, maintenance and other operating expenses. The Landlord will provide the Company with a one-time tenant improvement allowance totaling approximately $6.9 million. To secure its obligations under the Lease, the Company was required to provide to the Landlord an irrevocable $1.2 million letter of credit.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8720" w:type="dxa"/>
        <w:jc w:val="left"/>
        <w:tblInd w:w="0" w:type="dxa"/>
        <w:tblLayout w:type="fixed"/>
        <w:tblCellMar>
          <w:top w:w="28" w:type="dxa"/>
          <w:left w:w="28" w:type="dxa"/>
          <w:bottom w:w="28" w:type="dxa"/>
          <w:right w:w="28" w:type="dxa"/>
        </w:tblCellMar>
      </w:tblPr>
      <w:tblGrid>
        <w:gridCol w:w="814"/>
        <w:gridCol w:w="716"/>
        <w:gridCol w:w="720"/>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 net</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1" w:after="1"/>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the Right-Of-Use (“ROU”) assets,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183" w:type="dxa"/>
        <w:jc w:val="left"/>
        <w:tblInd w:w="0" w:type="dxa"/>
        <w:tblLayout w:type="fixed"/>
        <w:tblCellMar>
          <w:top w:w="28" w:type="dxa"/>
          <w:left w:w="28" w:type="dxa"/>
          <w:bottom w:w="28" w:type="dxa"/>
          <w:right w:w="28" w:type="dxa"/>
        </w:tblCellMar>
      </w:tblPr>
      <w:tblGrid>
        <w:gridCol w:w="796"/>
        <w:gridCol w:w="701"/>
        <w:gridCol w:w="708"/>
        <w:gridCol w:w="109"/>
        <w:gridCol w:w="109"/>
        <w:gridCol w:w="109"/>
        <w:gridCol w:w="1333"/>
        <w:gridCol w:w="1333"/>
        <w:gridCol w:w="1338"/>
        <w:gridCol w:w="109"/>
        <w:gridCol w:w="109"/>
        <w:gridCol w:w="109"/>
        <w:gridCol w:w="284"/>
        <w:gridCol w:w="829"/>
        <w:gridCol w:w="207"/>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8,074 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leases for the six months ended June 30, 2026 was as follows:</w:t>
      </w:r>
    </w:p>
    <w:p>
      <w:pPr>
        <w:pStyle w:val="TextBody"/>
        <w:bidi w:val="0"/>
        <w:spacing w:before="0" w:after="0"/>
        <w:ind w:left="0" w:right="0" w:firstLine="720"/>
        <w:jc w:val="left"/>
        <w:rPr/>
      </w:pPr>
      <w:r>
        <w:rPr/>
      </w:r>
    </w:p>
    <w:tbl>
      <w:tblPr>
        <w:tblW w:w="8523" w:type="dxa"/>
        <w:jc w:val="left"/>
        <w:tblInd w:w="0" w:type="dxa"/>
        <w:tblLayout w:type="fixed"/>
        <w:tblCellMar>
          <w:top w:w="28" w:type="dxa"/>
          <w:left w:w="28" w:type="dxa"/>
          <w:bottom w:w="28" w:type="dxa"/>
          <w:right w:w="28" w:type="dxa"/>
        </w:tblCellMar>
      </w:tblPr>
      <w:tblGrid>
        <w:gridCol w:w="2614"/>
        <w:gridCol w:w="2296"/>
        <w:gridCol w:w="2305"/>
        <w:gridCol w:w="211"/>
        <w:gridCol w:w="616"/>
        <w:gridCol w:w="109"/>
        <w:gridCol w:w="109"/>
        <w:gridCol w:w="109"/>
        <w:gridCol w:w="154"/>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 (in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non-cash ROU assets obtained in exchange for lease liabilities during the six months ended June 30, 2026 for either finance or operating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12.     Restructuring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Transformation 2.0: Powering Honest Growth</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Company's Board of Directors approved Transformation 2.0: Powering Honest Growth (“Powering Honest Growth”) which builds upon the Company's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retail and online stores in Canada, as well as optimizing our cost structure by rightsizing selling, general and administrative expenses and implementing supply chain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costs are one of the elements of Powering Honest Growth and are included in Restructuring on the condensed consolidated statements of comprehensive income: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Contract and External Obligation Costs — includes expense to terminate contracts prior to expiration, litigation and professional fees, and other costs associated with external obligations arising from restructuring.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Employee and Personnel-Related Costs — primarily severance and other post-employment benefit costs, calculated based on salary levels, prior service, statutory minimum benefits, and other personnel-related expenses incurred as a result of restructuring.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Asset and Other Restructuring-Related Costs — consist primarily of technology taken out of service.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costs associated with the restructuring once the relevant accounting criteria have been met.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were as follows (in thousands):</w:t>
      </w:r>
    </w:p>
    <w:p>
      <w:pPr>
        <w:pStyle w:val="TextBody"/>
        <w:bidi w:val="0"/>
        <w:spacing w:before="0" w:after="0"/>
        <w:ind w:left="0" w:right="0" w:firstLine="720"/>
        <w:jc w:val="left"/>
        <w:rPr/>
      </w:pPr>
      <w:r>
        <w:rPr/>
      </w:r>
    </w:p>
    <w:tbl>
      <w:tblPr>
        <w:tblW w:w="8964"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696"/>
        <w:gridCol w:w="2034"/>
        <w:gridCol w:w="359"/>
        <w:gridCol w:w="109"/>
        <w:gridCol w:w="109"/>
        <w:gridCol w:w="109"/>
        <w:gridCol w:w="642"/>
        <w:gridCol w:w="1876"/>
        <w:gridCol w:w="332"/>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Represents costs in connection with a warehouse closure which is included in cost of revenue on the condensed consolidated statements of comprehensive income.</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(2) Includes an adjustment related to contract and external obligation costs for the three months ended June 30, 2026. Refer to the restructuring table below for additional details of the costs included in restructuring costs for the six months ended June 30, 2026.</w:t>
      </w:r>
    </w:p>
    <w:p>
      <w:pPr>
        <w:pStyle w:val="TextBody"/>
        <w:bidi w:val="0"/>
        <w:spacing w:before="1" w:after="1"/>
        <w:ind w:left="0" w:right="0" w:firstLine="720"/>
        <w:jc w:val="left"/>
        <w:rPr/>
      </w:pPr>
      <w:r>
        <w:rPr/>
      </w:r>
    </w:p>
    <w:p>
      <w:pPr>
        <w:pStyle w:val="TextBody"/>
        <w:bidi w:val="0"/>
        <w:spacing w:lineRule="auto" w:line="268" w:before="1" w:after="1"/>
        <w:jc w:val="left"/>
        <w:rPr>
          <w:rFonts w:ascii="Times New Roman;serif" w:hAnsi="Times New Roman;serif"/>
          <w:b w:val="false"/>
          <w:color w:val="000000"/>
          <w:sz w:val="20"/>
        </w:rPr>
      </w:pPr>
      <w:r>
        <w:rPr>
          <w:rFonts w:ascii="Times New Roman;serif" w:hAnsi="Times New Roman;serif"/>
          <w:b w:val="false"/>
          <w:color w:val="000000"/>
          <w:sz w:val="20"/>
        </w:rPr>
        <w:t>Charges incurred to restructuring costs for the six months ended June 30, 2026 were: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1"/>
        <w:gridCol w:w="475"/>
        <w:gridCol w:w="479"/>
        <w:gridCol w:w="542"/>
        <w:gridCol w:w="1198"/>
        <w:gridCol w:w="281"/>
        <w:gridCol w:w="268"/>
        <w:gridCol w:w="268"/>
        <w:gridCol w:w="270"/>
        <w:gridCol w:w="637"/>
        <w:gridCol w:w="1409"/>
        <w:gridCol w:w="331"/>
        <w:gridCol w:w="268"/>
        <w:gridCol w:w="268"/>
        <w:gridCol w:w="270"/>
        <w:gridCol w:w="403"/>
        <w:gridCol w:w="923"/>
        <w:gridCol w:w="210"/>
        <w:gridCol w:w="109"/>
        <w:gridCol w:w="109"/>
        <w:gridCol w:w="109"/>
        <w:gridCol w:w="211"/>
        <w:gridCol w:w="466"/>
        <w:gridCol w:w="160"/>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237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Charges for the six months ended June 30, 2026</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ind w:left="0" w:right="0" w:firstLine="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accrued expenses as of June 30, 2026 were: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2"/>
        <w:gridCol w:w="529"/>
        <w:gridCol w:w="531"/>
        <w:gridCol w:w="579"/>
        <w:gridCol w:w="1694"/>
        <w:gridCol w:w="301"/>
        <w:gridCol w:w="109"/>
        <w:gridCol w:w="109"/>
        <w:gridCol w:w="109"/>
        <w:gridCol w:w="404"/>
        <w:gridCol w:w="1180"/>
        <w:gridCol w:w="211"/>
        <w:gridCol w:w="109"/>
        <w:gridCol w:w="109"/>
        <w:gridCol w:w="109"/>
        <w:gridCol w:w="592"/>
        <w:gridCol w:w="1307"/>
        <w:gridCol w:w="307"/>
        <w:gridCol w:w="109"/>
        <w:gridCol w:w="109"/>
        <w:gridCol w:w="109"/>
        <w:gridCol w:w="211"/>
        <w:gridCol w:w="616"/>
        <w:gridCol w:w="160"/>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3"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Accrued Restructuring-Related Costs</w:t>
            </w:r>
            <w:r>
              <w:rPr>
                <w:rFonts w:ascii="Times New Roman;serif" w:hAnsi="Times New Roman;serif"/>
                <w:b/>
                <w:color w:val="000000"/>
                <w:sz w:val="13"/>
              </w:rPr>
              <w:t>(1)</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 and Other Restructuring-Related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Contract and External Obligation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Employee and Personnel-Related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Charges </w:t>
            </w:r>
          </w:p>
        </w:tc>
        <w:tc>
          <w:tcPr>
            <w:tcW w:w="22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22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Included in accrued expenses as of June 30, 2026. Refer to Note 6, "Accrued Expenses" included elsewhere in these condensed consolidated financial statements.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(the “Annual Report”), filed with the Securities and Exchange Commission (“SEC”) on February 25, 2026.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erif" w:hAnsi="Times New Roman;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Founded in 2012, The Honest Company (the “Company,” or “Honest,” which may also be referred to as “we,” “us” or “our”) is a personal care company dedicated to creating cleanly-formulated and sustainably-designed products for everyone from babies to adults. By combining thoughtful design with science-based innovation, we deliver personal care products for everyone from babies to adults, spanning categories across wipes, personal care, diapers, and beauty. Our commitment to our core values, continual innovation and engaging our community has differentiated and elevated our brand and our products. Since our launch, we have cultivated deep trust around what matters most to our consumers: their health, their families and their homes. We seek to meet consumers wherever they want to shop, balancing deep consumer connection with broad convenience and availability. We believe our distribution strategy positions us for continued growth through our trusted brand and award-winning multi-category product offerings.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Honest Standard, the Company’s rigorous set of guiding principles that shape every step of product innovation and development, reflects Honest’s ongoing dedication to safety, transparency and integrity. As a leader in clean and sustainable products, Honest continues to set a new standard for clean formulations, bringing joy to a community that seeks authenticity, transparency and efficacy in everyday essentials. Honest products are available nationwide at major retailers, including Amazon, Target and Walmart.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December 31, 2025, we have transitioned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Transformation 2.0: Powering Honest Growth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our Board of Directors approved Transformation 2.0: Powering Honest Growth (“Powering Honest Growth”), which builds upon our original Transformation Pillars of Brand Maximization, Margin Enhancement and Operating Discipline. Powering Honest Growth is aimed at driving growth, improving simplicity, focus and profitability, which includes exiting certain lower margin, non-strategic categories and channels, including Honest.com fulfillment and the apparel category as a seller of merchandise, as well as retail and online stores in Canada, optimizing our cost structure by rightsizing selling, general and administrative expenses and implementing supply chain efficiencies.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Powering Honest Growth is projected to result in the following: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Costs associated with Powering Honest Growth, including restructuring costs, are expected to be approximately $28.0 million to $31.0 million to be recognized through the first quarter of 2027. Of this range, we expect approximately $5.0 million to $6.0 million to be related to restructuring costs, primarily comprising contractual and external obligation costs, employee and personnel-related costs and asset and other restructuring-related costs, and approximately $23.0 million to $25.0 million to be related to other costs included in cost of revenue, primarily related to a discrete inventory write-down related to exiting apparel category as a seller of merchandise, fixed asset impairments, and costs associated with a warehouse closure, some of which have already been incurred.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During the three and six months ended June 30, 2026, we have recognized $1.0 million</w:t>
      </w:r>
      <w:r>
        <w:rPr>
          <w:color w:val="000000"/>
        </w:rPr>
        <w:t xml:space="preserve"> </w:t>
      </w:r>
      <w:r>
        <w:rPr>
          <w:rFonts w:ascii="Times New Roman;serif" w:hAnsi="Times New Roman;serif"/>
          <w:b w:val="false"/>
          <w:color w:val="000000"/>
          <w:sz w:val="20"/>
        </w:rPr>
        <w:t xml:space="preserve">and $2.3 million, respectively, of costs related to Powering Honest Growth, for a total of approximately $26.3 million recognized to date. See table below for additional details of the costs recognized in the three and six months ended June 30, 2026.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Powering Honest Growth is expected to result in annualized benefits in the range of approximately $14.0 million to $17.0 million, and the Company has begun seeing benefits in 2026. These benefits include reduction in costs of revenue and reduction in operating expenses, offset by a decrease in revenue related to the exit of lower margin non-strategic portfolios.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cash impact of costs related to Powering Honest Growth is expected to be in the range of approximately $10.0 million to $13.0 million for the full years 2026 and 2027, with $6.5 million cash paid through the first half of 2026 and the remainder to be paid in the second half of 2026 and in 2027.</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expect the restructuring element of Powering Honest Growth to be substantially completed by December 31, 2026. We may incur other costs or cash expenditures not currently contemplated as a result of or in connection with Powering Honest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driving benefits from the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Leveraging the strength of the Honest brand to drive growth through greater availability, expanded household penetration, product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Pricing strategy as a driver of revenue is also a component of Brand Maximization. </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our resources on the United States, which included the exit of our low-margin products in Europe and Asia in 2023 and, most recently, Canada in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Exiting low-margin elements of cleaning and sanitization products in 2023 and apparel in 2025.</w:t>
      </w:r>
    </w:p>
    <w:p>
      <w:pPr>
        <w:pStyle w:val="TextBody"/>
        <w:bidi w:val="0"/>
        <w:spacing w:lineRule="auto" w:line="268" w:before="0" w:after="0"/>
        <w:ind w:left="0" w:right="0" w:hanging="360"/>
        <w:jc w:val="left"/>
        <w:rPr/>
      </w:pPr>
      <w:r>
        <w:rPr>
          <w:color w:val="1D1C1D"/>
        </w:rPr>
        <w:t>•</w:t>
      </w:r>
      <w:r>
        <w:rPr>
          <w:rFonts w:ascii="Times New Roman;serif" w:hAnsi="Times New Roman;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Re-directing resources to accelerate cost savings, including optimization of our contract manufacturing strategies, optimization of our supply chain footprint and inventory management, along with leveraging technology to improve systems,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Realigning resources to reflect the prioritization of higher-margin opportunities, including strategic shift away from our lower margin channels, including exiting our </w:t>
      </w:r>
      <w:r>
        <w:rPr>
          <w:rFonts w:ascii="Times New Roman;serif" w:hAnsi="Times New Roman;serif"/>
          <w:b w:val="false"/>
          <w:color w:val="231F20"/>
          <w:sz w:val="20"/>
        </w:rPr>
        <w:t>direct-to-consumer (“DTC”) channel in 2025</w:t>
      </w:r>
      <w:r>
        <w:rPr>
          <w:rFonts w:ascii="Times New Roman;serif" w:hAnsi="Times New Roman;serif"/>
          <w:b w:val="false"/>
          <w:color w:val="000000"/>
          <w:sz w:val="20"/>
        </w:rPr>
        <w:t>.</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on improving our executional excellence in how we operate as an enterprise.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Managing working capital including the reduction of inventory.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Rightsizing selling and general and administrative costs.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associated with Powering Honest Growth were as follows (in thousands):</w:t>
      </w:r>
    </w:p>
    <w:p>
      <w:pPr>
        <w:pStyle w:val="TextBody"/>
        <w:bidi w:val="0"/>
        <w:spacing w:before="0" w:after="0"/>
        <w:ind w:left="0" w:right="0" w:firstLine="720"/>
        <w:jc w:val="left"/>
        <w:rPr/>
      </w:pPr>
      <w:r>
        <w:rPr/>
      </w:r>
    </w:p>
    <w:tbl>
      <w:tblPr>
        <w:tblW w:w="8527" w:type="dxa"/>
        <w:jc w:val="left"/>
        <w:tblInd w:w="0" w:type="dxa"/>
        <w:tblLayout w:type="fixed"/>
        <w:tblCellMar>
          <w:top w:w="28" w:type="dxa"/>
          <w:left w:w="28" w:type="dxa"/>
          <w:bottom w:w="28" w:type="dxa"/>
          <w:right w:w="28" w:type="dxa"/>
        </w:tblCellMar>
      </w:tblPr>
      <w:tblGrid>
        <w:gridCol w:w="685"/>
        <w:gridCol w:w="601"/>
        <w:gridCol w:w="604"/>
        <w:gridCol w:w="109"/>
        <w:gridCol w:w="109"/>
        <w:gridCol w:w="109"/>
        <w:gridCol w:w="696"/>
        <w:gridCol w:w="2034"/>
        <w:gridCol w:w="359"/>
        <w:gridCol w:w="109"/>
        <w:gridCol w:w="109"/>
        <w:gridCol w:w="109"/>
        <w:gridCol w:w="622"/>
        <w:gridCol w:w="1818"/>
        <w:gridCol w:w="4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3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(1) Represents costs in connection with a warehouse closure which is included in cost of revenue on the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3"/>
        </w:rPr>
        <w:t>(2) Includes an adjustment related to contract and external obligation costs for the three months ended June 30, 2026. For further details on the restructuring element of Powering Honest Growth, refer to Note 12, “Restructuring</w:t>
      </w:r>
      <w:r>
        <w:rPr>
          <w:color w:val="231F20"/>
        </w:rPr>
        <w:t>”</w:t>
      </w:r>
      <w:r>
        <w:rPr>
          <w:color w:val="000000"/>
        </w:rPr>
        <w:t xml:space="preserve"> </w:t>
      </w:r>
      <w:r>
        <w:rPr>
          <w:rFonts w:ascii="Times New Roman;serif" w:hAnsi="Times New Roman;serif"/>
          <w:b w:val="false"/>
          <w:color w:val="000000"/>
          <w:sz w:val="13"/>
        </w:rPr>
        <w:t xml:space="preserve">included in our condensed consolidated financial statements included elsewhere in this Quarterly Report on Form 10-Q.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Operational and Marketing Efficiency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grow our business, we intend to continue to improve our operational and marketing efficiency, which includes attracting new consumers, increasing community engagement and connection with our brand,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distribution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Ability to Execute Increasing Physical and Digital Availability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core of our growth strategy centers around increasing physical availability through expanded stores, doors, aisles, shelves and facings and increasing digital availability of our products in retail customers websites, and third-party ecommerce sites.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customers on certain diaper SKUs mainly related to these retailers' footprint changes for certain product categories overall and a shift to more exclusive non-gendered prints with one of these retailers, which has impacted our revenue since 2025, and we expect will continue to negatively impact our diaper revenue in the future. Product offerings in the diaper category remain competitive and retailer decisions related to the sale or promotion of competitive diaper products has negatively impacted our diaper revenue in 2026, which we expect to continue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higher costs of shipping and fulfillment activities related to our DTC channel and other related costs, we no longer utilize Honest.com as a shipping and fulfillment channel or sell products through this channel as of December 31, 2025 and instead have shifted our focus and investments towards more efficient and scalable distribution models with our retail and digital customers. The Honest.com website remains a resource for educating consumers, showcasing our complete product portfolio, and driving consumers to purchase offsite. Our discontinuation of Honest.com as a direct shipping and fulfillment channel negatively impacted our revenue for the year ended December 31, 2025 and the first half of 2026; however, we also expect that it will enable improved gross margin in future years.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mix is a driver of our financial performance and growth given our focus on attractive margin products. Even though our growth strategy aims to boost sales across products by increasing total distribution, we intend to prioritize growth in products with attractive margin characteristics, including wipes and personal care, and leverage our brand equity and consumer insights to extend into new products.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including wipes pack size expansion and kids personal care.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naturally-derived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changing consumer attitudes or behaviors or other macroeconomic conditions (such as inflation, tariffs, supply chain disruptions, trade disputes, foreign exchange volatility, ongoing military conflicts and geopolitical uncertainty, financial market instability and any resulting recession or slowed economic growth), have resulted and could in the future result in fluctuations in our operating results.</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uncertainty has increased due to the impact of continued inflationary pressures, adverse impact on confidence in financial markets and geopolitical events, including tariffs imposed on certain foreign goods, the possibility of expanding the tariffs to capture other types of goods, and related legal challenges. Additionally, the extent of the impact of macroeconomic trends on our operational and financial performance in the future will depend on future developments. Prolonged unfavorable economic conditions, including as a result of changing consumer attitudes or behaviors or other macroeconomic conditions (such as inflation, tariffs, supply chain disruptions, trade disputes, foreign exchange volatility, ongoing military conflicts and geopolitical uncertainty, financial market instability and any resulting recession or slowed economic growth) have had and may continue to have an adverse effect on our sales, margins and profitability. All of these factors are difficult to predict considering the rapidly evolving landscape as we continue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and continues to be an adverse impact on global economic conditions, specifically tariffs and inflationary pressures, which has adversely affected our supply chain in regards to cost of revenue. We have experienced and anticipate continued increases in product costs due to inflationary pressures, which has in the past and could continue to hamper our ability to drive margin expansion.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notwithstanding legal challenges, we expect tariffs to continue to negatively impact the cost of raw materials, components and finished goods, which has adversely impacted our operational expenses, and may negatively 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In addition, in early 2025 we hired a Senior Vice President of Supply Chain, a newly created role, which has enabled us to accelerate some of the cost savings opportunities we have developed. If we are not successful in our attempts to bolster our supply chain and mitigate the impact of tariffs, our product and fulfillment costs may increase and our business, financial condition, results of operations and prospects could be adversely affected. For example, the fluctuation in tariff rates since 2025 and the ongoing uncertainty of those rates, has primarily impacted our wipes product costs, and may in the future impact our ability to forecast the tariff impacts on our 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February 2026 U.S. Supreme Court ruling that invalidated specific tariffs under the International Emergency Economic Powers Act (“IEEPA”), we are evaluating our eligibility for refunds of previously paid import duties. Beginning in April 2026, we began filing refund claims with U.S. Customs and Border Protection related to eligible IEEPA tariff payments made. During the three and six months ended June 30, 2026, we received IEEPA tariff refunds totaling $11.9 million, which were recognized as a $6.6 million reduction in cost of revenue and a $0.5 million increase in interest income on the condensed consolidated statements of comprehensive income, and as a $0.6 million reduction in inventory on the condensed consolidated balance sheets. Due to the inherent uncertainty surrounding the timing and recoverability of additional refunds, no receivable or corresponding offset to expense or asset was recognized as of June 30, 2026. We continue to monitor these developments, including potential refund obligations to third-party manufacturers. For details on tariff refunds received,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7, “Commitments and Contingencies” included in our condensed consolidated financial statements included elsewhere in this Quarterly Report on Form 10-Q.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also taking action to optimize our supply chain footprint and inventory management, along with leveraging technology to improve systems. Effective June 30, 2026, w</w:t>
      </w:r>
      <w:r>
        <w:rPr>
          <w:rFonts w:ascii="Times New Roman;serif" w:hAnsi="Times New Roman;serif"/>
          <w:b w:val="false"/>
          <w:color w:val="231F20"/>
          <w:sz w:val="20"/>
        </w:rPr>
        <w:t>e</w:t>
      </w:r>
      <w:r>
        <w:rPr>
          <w:color w:val="000000"/>
        </w:rPr>
        <w:t xml:space="preserve"> </w:t>
      </w:r>
      <w:r>
        <w:rPr>
          <w:rFonts w:ascii="Times New Roman;serif" w:hAnsi="Times New Roman;serif"/>
          <w:b w:val="false"/>
          <w:color w:val="000000"/>
          <w:sz w:val="20"/>
        </w:rPr>
        <w:t>terminated our agreement with GEODIS Logistics LLC for the use and services of a Pennsylvania warehouse that was previously part of our distribution network. As a result, we now operate exclusively in the Nevada warehouse, a state-of-the-art facility leased by us with a focus on automated large scale retail fulfillment. We expect that the ongoing military conflicts may further increase our global shipping costs and could negatively impact the cost of petrochemicals which are used in the raw materials and packaging in our personal care products.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experienced purchase price increases from our third-party manufacturers in the past and could face escalation of purchase costs and cost of revenue in the future. In 2025, we agreed to increased purchase costs from our diaper manufacturer and received requests to renegotiate purchase costs from other third-party manufacturers, which negotiations are ongoing. We have implemented price increases in the past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Given changing macroeconomic conditions, we also believe that consumers have changed their shopping behaviors and have become more price sensitive when purchasing products in some of our product categories, including diapers. In the second quarter of 2026, we implemented price reductions on our diapers, which impacted revenue and margin in this product category.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reflected at the lower of cost or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Transformation Pillar of Operating Discipline, we have reduced inventory since December 31, 2025 as part of managing working capital efficiently, including inventory management.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Supplier Services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2022, we entered into a supplier services agreement with Butterblu, LLC (“Butterblu”) pursuant to which Butterblu provided certain design, manufacturing, sales and marketing services to us (the “Supplier Services Agreement”). As part of the Supplier Services Agreement, we agreed to purchase and own inventory for the term of the agreement, which was originally until December 31, 2026, unless terminated sooner. On November 5, 2025, we sent a Notice of Termination to Butterblu and sued the company for alleged breaches of the Supplier Services Agreement. Through agreement of the parties following our Notice of Termination, Honest and Butterblu extended the Supplier Services Agreement on a temporary basis through December 26, 2025. The Supplier Services Agreement was formally terminated on December 26, 2025. Upon termination, Butterblu was required to discontinue using Honest’s trademarks and prints and to consummate all pending purchase orders received in writing as of the November 5, 2025 termination date, and Honest has the right to sell off all products sourced by Butterblu until and through December 26, 2026 and shall pay Butterblu the Base Service Fee, defined as 22% of Honest's net revenue for product sales and adjusted to ensure that the Base Service Fee does not exceed Honest's gross profit for product sales in the applicable quarter, for product sales through December 26, 2026. The parties are in litigation, which is described in Note 7, "Commitments and Contingencies," included in our condensed consolidated financial statements included elsewhere in this Quarterly Report on Form 10-Q. Litigation related to our respective obligations under the Supplier Services Agreement, the termination of this Supplier Services Agreement, any disputes over the terms of the termination, and costs related to the apparel inventory we own have negatively impacted revenue and gross profit, partially offset by lower operating costs since the fourth quarter ended December 31, 2025, and are expected to continue to adversely impact our results of operations in 2026. In addition, the loss of the relationship with Butterblu negatively impacted apparel revenue and will negatively impact apparel revenue in the future, which may adversely affect our results of operations.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Licensing and Inventory Purchase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2026, we entered into a License Agreement (the “License Agreement”) and an accompanying Inventory Purchase Agreement with O5-MD, LLC and O5 North ULC (collectively, the “Licensee”). The License Agreement grants the Licensee an exclusive license to manufacture, distribute, promote, and sell certain apparel, accessories, bath and bedding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footwear under "The Honest Company" and "Honest Baby" trademarks. The primary territory for the License Agreement covers the United States, Canada, and Mexico, as well as specified international club and off-price accounts. Under the License Agreement, we will earn royalty revenue on the Licensee's net sales. The initial term of the License Agreement expires on December 31, 2030. The Licensee holds the option to renew the agreement for two additional successive five-year terms, provided it complies with all material terms, meets required notice periods, among other requirements. For the three and six months ended June 30, 2026, we did not recognize any royalty revenue with respect to the License Agreement.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connection with the License Agreement, the Licensee agreed to purchase our remaining on-hand inventory of licensed apparel products for a total purchase price of $10.0 million, subject to certain adjustments for inventory deficiencies or missing certifications. The purchase price is payable in installments, with four 25% payments tied to the delivery timeline. For the three and six months ended June 30, 2026, we recognized $3.1 million in revenue and $3.1 million</w:t>
      </w:r>
      <w:r>
        <w:rPr>
          <w:color w:val="000000"/>
        </w:rPr>
        <w:t xml:space="preserve"> </w:t>
      </w:r>
      <w:r>
        <w:rPr>
          <w:rFonts w:ascii="Times New Roman;serif" w:hAnsi="Times New Roman;serif"/>
          <w:b w:val="false"/>
          <w:color w:val="000000"/>
          <w:sz w:val="22"/>
        </w:rPr>
        <w:t xml:space="preserve">in </w:t>
      </w:r>
      <w:r>
        <w:rPr>
          <w:rFonts w:ascii="Times New Roman;serif" w:hAnsi="Times New Roman;serif"/>
          <w:b w:val="false"/>
          <w:color w:val="000000"/>
          <w:sz w:val="20"/>
        </w:rPr>
        <w:t>cost of revenue related to the partial liquidation of the remaining apparel inventory, that was delivered to the Licensee at its carrying value, resulting in no gross profit. These transactions resulted in a corresponding increase in accounts receivable and a decrease in inventory of $3.1 million each.</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sale of our products through our leading retailers and their websites, third-party ecommerce sites and, prior to December 31, 2025, Honest.com, as well as through royalty revenue under the License Agreement. Our revenue is recognized net of allowances for returns, trade and other discounts, retailer violations and credits, and any taxes collected from consumers. </w: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tariffs and duties, shipping and packaging supplies, credit card processing fees related to Honest.com,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general and administrative, marketing, restructuring and research and development expenses. </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our exited apparel products and, depreciation and amortization expenses. We expect our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initiatives. Given the dynamic macro-environment, higher costs in digital marketing and increased retail distribution, we will continue to optimize our marketing activities for impact and efficiency. We will continue to prioritize investment in marketing initiatives around our most strategic and profitable categories, through strategic key retailers activities, as well as brand building campaigns and initiatives. As we launch new products, we expect to make marketing investments to support growth at key retailers, build brand awareness, encourage first-time use and set the foundation for future revenue growth.</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Restructuring </w:t>
      </w:r>
    </w:p>
    <w:p>
      <w:pPr>
        <w:pStyle w:val="TextBody"/>
        <w:bidi w:val="0"/>
        <w:spacing w:before="1" w:after="1"/>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Restructuring costs are one of the elements of Powering Honest Growth and are included in Restructuring on the condensed consolidated statements of comprehensive income. Restructuring costs include contract and external obligation costs, employee and personnel-related costs, and asset and other restructuring-related costs. For further details on the restructuring element of Powering Honest Growth, refer to Note 12, “Restructuring</w:t>
      </w:r>
      <w:r>
        <w:rPr>
          <w:color w:val="231F20"/>
        </w:rPr>
        <w:t>”</w:t>
      </w:r>
      <w:r>
        <w:rPr>
          <w:color w:val="000000"/>
        </w:rPr>
        <w:t xml:space="preserve"> </w:t>
      </w:r>
      <w:r>
        <w:rPr>
          <w:rFonts w:ascii="Times New Roman;serif" w:hAnsi="Times New Roman;serif"/>
          <w:b w:val="false"/>
          <w:color w:val="000000"/>
          <w:sz w:val="20"/>
        </w:rPr>
        <w:t xml:space="preserve">included in our condensed consolidated financial statements included elsewhere in this Quarterly Report on Form 10-Q.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erif" w:hAnsi="Times New Roman;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income earned on our short-term investments and our cash and cash equivalents balances. Interest expense includes fees incurred under our 2026 Credit Facility, including commitment fees and debt issuance costs.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1" w:after="1"/>
        <w:jc w:val="left"/>
        <w:rPr/>
      </w:pPr>
      <w:r>
        <w:rPr/>
      </w:r>
    </w:p>
    <w:p>
      <w:pPr>
        <w:pStyle w:val="TextBody"/>
        <w:bidi w:val="0"/>
        <w:spacing w:lineRule="auto" w:line="268" w:before="0" w:after="0"/>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comprehensive income data for each of the periods indicated: </w:t>
      </w:r>
    </w:p>
    <w:tbl>
      <w:tblPr>
        <w:tblW w:w="9947" w:type="dxa"/>
        <w:jc w:val="left"/>
        <w:tblInd w:w="0" w:type="dxa"/>
        <w:tblLayout w:type="fixed"/>
        <w:tblCellMar>
          <w:top w:w="28" w:type="dxa"/>
          <w:left w:w="28" w:type="dxa"/>
          <w:bottom w:w="28" w:type="dxa"/>
          <w:right w:w="28" w:type="dxa"/>
        </w:tblCellMar>
      </w:tblPr>
      <w:tblGrid>
        <w:gridCol w:w="1260"/>
        <w:gridCol w:w="1107"/>
        <w:gridCol w:w="1112"/>
        <w:gridCol w:w="275"/>
        <w:gridCol w:w="943"/>
        <w:gridCol w:w="142"/>
        <w:gridCol w:w="142"/>
        <w:gridCol w:w="142"/>
        <w:gridCol w:w="142"/>
        <w:gridCol w:w="275"/>
        <w:gridCol w:w="943"/>
        <w:gridCol w:w="142"/>
        <w:gridCol w:w="109"/>
        <w:gridCol w:w="109"/>
        <w:gridCol w:w="109"/>
        <w:gridCol w:w="237"/>
        <w:gridCol w:w="930"/>
        <w:gridCol w:w="122"/>
        <w:gridCol w:w="122"/>
        <w:gridCol w:w="122"/>
        <w:gridCol w:w="122"/>
        <w:gridCol w:w="237"/>
        <w:gridCol w:w="930"/>
        <w:gridCol w:w="173"/>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40,360 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73,631 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30,782 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34,864 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64,712 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70,027 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13"/>
        </w:rPr>
      </w:pPr>
      <w:r>
        <w:rPr>
          <w:rFonts w:ascii="Times New Roman;serif" w:hAnsi="Times New Roman;serif"/>
          <w:b w:val="false"/>
          <w:color w:val="000000"/>
          <w:sz w:val="13"/>
        </w:rPr>
        <w:t>__________________________</w:t>
      </w:r>
    </w:p>
    <w:p>
      <w:pPr>
        <w:pStyle w:val="TextBody"/>
        <w:bidi w:val="0"/>
        <w:spacing w:lineRule="auto" w:line="268" w:before="1" w:after="1"/>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stock-based compensation expense as follows: </w:t>
      </w:r>
    </w:p>
    <w:tbl>
      <w:tblPr>
        <w:tblW w:w="9470" w:type="dxa"/>
        <w:jc w:val="left"/>
        <w:tblInd w:w="0" w:type="dxa"/>
        <w:tblLayout w:type="fixed"/>
        <w:tblCellMar>
          <w:top w:w="28" w:type="dxa"/>
          <w:left w:w="28" w:type="dxa"/>
          <w:bottom w:w="28" w:type="dxa"/>
          <w:right w:w="28" w:type="dxa"/>
        </w:tblCellMar>
      </w:tblPr>
      <w:tblGrid>
        <w:gridCol w:w="1085"/>
        <w:gridCol w:w="955"/>
        <w:gridCol w:w="960"/>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comprehensive income data expressed as a percentage of revenue*:</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249"/>
        <w:gridCol w:w="1097"/>
        <w:gridCol w:w="1102"/>
        <w:gridCol w:w="350"/>
        <w:gridCol w:w="346"/>
        <w:gridCol w:w="346"/>
        <w:gridCol w:w="346"/>
        <w:gridCol w:w="346"/>
        <w:gridCol w:w="346"/>
        <w:gridCol w:w="350"/>
        <w:gridCol w:w="346"/>
        <w:gridCol w:w="346"/>
        <w:gridCol w:w="109"/>
        <w:gridCol w:w="109"/>
        <w:gridCol w:w="109"/>
        <w:gridCol w:w="328"/>
        <w:gridCol w:w="325"/>
        <w:gridCol w:w="324"/>
        <w:gridCol w:w="324"/>
        <w:gridCol w:w="324"/>
        <w:gridCol w:w="324"/>
        <w:gridCol w:w="328"/>
        <w:gridCol w:w="325"/>
        <w:gridCol w:w="324"/>
        <w:gridCol w:w="109"/>
        <w:gridCol w:w="109"/>
        <w:gridCol w:w="16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13"/>
        </w:rPr>
        <w:t>Amounts</w:t>
      </w:r>
      <w:r>
        <w:rPr>
          <w:color w:val="231F20"/>
        </w:rPr>
        <w:t xml:space="preserve"> </w:t>
      </w:r>
      <w:r>
        <w:rPr>
          <w:rFonts w:ascii="Times New Roman;serif" w:hAnsi="Times New Roman;serif"/>
          <w:b w:val="false"/>
          <w:color w:val="231F20"/>
          <w:sz w:val="13"/>
        </w:rPr>
        <w:t>may</w:t>
      </w:r>
      <w:r>
        <w:rPr>
          <w:color w:val="231F20"/>
        </w:rPr>
        <w:t xml:space="preserve"> </w:t>
      </w:r>
      <w:r>
        <w:rPr>
          <w:rFonts w:ascii="Times New Roman;serif" w:hAnsi="Times New Roman;serif"/>
          <w:b w:val="false"/>
          <w:color w:val="231F20"/>
          <w:sz w:val="13"/>
        </w:rPr>
        <w:t>not sum</w:t>
      </w:r>
      <w:r>
        <w:rPr>
          <w:color w:val="231F20"/>
        </w:rPr>
        <w:t xml:space="preserve"> </w:t>
      </w:r>
      <w:r>
        <w:rPr>
          <w:rFonts w:ascii="Times New Roman;serif" w:hAnsi="Times New Roman;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2026 and 2025</w:t>
      </w:r>
    </w:p>
    <w:p>
      <w:pPr>
        <w:pStyle w:val="TextBody"/>
        <w:bidi w:val="0"/>
        <w:spacing w:before="1" w:after="1"/>
        <w:jc w:val="left"/>
        <w:rPr/>
      </w:pPr>
      <w:r>
        <w:rPr/>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1880" w:type="dxa"/>
        <w:jc w:val="left"/>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15"/>
        <w:gridCol w:w="315"/>
        <w:gridCol w:w="316"/>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$83.3 million for the three months ended June 30, 2026, as compared to $93.5 million for the three months ended June 30, 2025. The decrease of $10.2 million, or 10.9%, was primarily due to the strategic exits related to Powering Honest Growth and a decline in diaper revenue, partially offset by an increase in revenue mainly within wipes and personal care and other products.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$161.4 million for the six months ended June 30, 2026, as compared to $190.7 million for the six months ended June 30, 2025. The decrease of $29.3 million, or 15.4%, was due to the strategic exits related to Powering Honest Growth and a decline in diaper revenue, partially offset by an increase in revenue mainly within wipes and personal care and other products.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the Organic Revenue table under “Non-GAAP Financial Measures” below for further details of revenue excluding the revenue associated with the discrete exits related to Powering Honest Growth.</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before="1" w:after="1"/>
        <w:jc w:val="left"/>
        <w:rPr/>
      </w:pPr>
      <w:r>
        <w:rPr/>
      </w:r>
    </w:p>
    <w:tbl>
      <w:tblPr>
        <w:tblW w:w="1170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315"/>
        <w:gridCol w:w="315"/>
        <w:gridCol w:w="316"/>
        <w:gridCol w:w="109"/>
        <w:gridCol w:w="109"/>
        <w:gridCol w:w="109"/>
        <w:gridCol w:w="211"/>
        <w:gridCol w:w="721"/>
        <w:gridCol w:w="109"/>
        <w:gridCol w:w="109"/>
        <w:gridCol w:w="109"/>
        <w:gridCol w:w="109"/>
        <w:gridCol w:w="211"/>
        <w:gridCol w:w="826"/>
        <w:gridCol w:w="109"/>
        <w:gridCol w:w="109"/>
        <w:gridCol w:w="109"/>
        <w:gridCol w:w="109"/>
        <w:gridCol w:w="211"/>
        <w:gridCol w:w="736"/>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$42.9 million for the three months ended June 30, 2026, as compared to $55.7 million for the three months ended June 30, 2025. The decrease of $12.8 million, or 22.9%, was primarily driven by lower costs associated with strategic exits under Powering Honest Growth and tariff refunds. Cost of revenue as a percentage of revenue decreased by 800 basis points compared to the three months ended June 30,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$40.4 million for the three months ended June 30, 2026, as compared to $37.8 million for the three months ended June 30, 2025. The increase of $2.6 million, or 6.9%, was primarily related to tariff refunds and favorable product mix, partially offset by sales volume declines and restructuring-related costs related to Powering Honest Growth.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$87.8 million for the six months ended June 30, 2026, as compared to $115.3 million for the six months ended June 30, 2025. The decrease of $27.5 million, or 23.9%, was primarily driven by lower costs associated with strategic exits under Powering Honest Growth and tariff refunds. Cost of revenue as a percentage of revenue decreased by 607 basis points compared to the six months ended June 30,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$73.6 million for the six months ended June 30, 2026, as compared to $75.4 million for the six months ended June 30, 2025. The decrease of $1.8 million, or 2.4%, was primarily due to sales volume declines and restructuring-related costs related to Powering Honest Growth, partially offset by a decline in associated cost of revenue and tariff refunds.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tbl>
      <w:tblPr>
        <w:tblW w:w="11910"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$15.0 million for the three months ended June 30, 2026, as compared to $20.4 million for the three months ended June 30, 2025. The decrease of $5.4 million, or 26.5%, was primarily due to a $2.6 million decline in third-party service fees, a $1.4 million decrease related to retailer violations adjustments and a $0.9 million decrease in executive officer transition expenses. Selling, general and administrative expenses as a percentage of revenue decreased 3.8% as compared to the three months ended June 30,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$32.4 million for the six months ended June 30, 2026, as compared to $41.4 million for the six months ended June 30, 2025. The decrease of $9.0 million, or 21.6%, was primarily due to a $5.2 million decline in third-party service fees, a $1.4 million decrease in legal expenses, a $0.8 million decrease in donation expense and a $0.7 million decrease in executive officer transition expenses. Selling, general and administrative expenses as a percentage of revenue decreased 1.6% as compared to the six months ended June 30, 2025.</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Expenses </w:t>
      </w:r>
    </w:p>
    <w:tbl>
      <w:tblPr>
        <w:tblW w:w="11565"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bookmarkStart w:id="1" w:name="i84a058e181be42998d1ab78d900a46c4_50043"/>
      <w:bookmarkEnd w:id="1"/>
      <w:r>
        <w:rPr>
          <w:rFonts w:ascii="Times New Roman;serif" w:hAnsi="Times New Roman;serif"/>
          <w:b w:val="false"/>
          <w:color w:val="000000"/>
          <w:sz w:val="20"/>
        </w:rPr>
        <w:t xml:space="preserve">Marketing expenses were $14.5 million for the three months ended June 30, 2026, as compared to $12.6 million for the three months ended June 30, 2025. The increase of $1.9 million, or 15.3%, was primarily due to increased marketing investment to support our higher growth, higher margin wipes and personal care platforms. Marketing expenses as a percentage of revenue increased 3.9% as compared to the three months ended June 30, 2025.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were $28.5 million for the six months ended June 30, 2026, as compared to $24.8 million for the six months ended June 30, 2025. The increase of $3.6 million, or 14.7%, was primarily due to increased marketing investment to support our higher growth, higher margin wipes and personal care platforms. Marketing expenses as a percentage of revenue increased 4.6% as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Restructuring Expenses</w:t>
      </w:r>
    </w:p>
    <w:tbl>
      <w:tblPr>
        <w:tblW w:w="10647" w:type="dxa"/>
        <w:jc w:val="left"/>
        <w:tblInd w:w="0" w:type="dxa"/>
        <w:tblLayout w:type="fixed"/>
        <w:tblCellMar>
          <w:top w:w="28" w:type="dxa"/>
          <w:left w:w="28" w:type="dxa"/>
          <w:bottom w:w="28" w:type="dxa"/>
          <w:right w:w="28" w:type="dxa"/>
        </w:tblCellMar>
      </w:tblPr>
      <w:tblGrid>
        <w:gridCol w:w="446"/>
        <w:gridCol w:w="392"/>
        <w:gridCol w:w="393"/>
        <w:gridCol w:w="211"/>
        <w:gridCol w:w="481"/>
        <w:gridCol w:w="109"/>
        <w:gridCol w:w="109"/>
        <w:gridCol w:w="109"/>
        <w:gridCol w:w="109"/>
        <w:gridCol w:w="211"/>
        <w:gridCol w:w="406"/>
        <w:gridCol w:w="109"/>
        <w:gridCol w:w="109"/>
        <w:gridCol w:w="109"/>
        <w:gridCol w:w="109"/>
        <w:gridCol w:w="211"/>
        <w:gridCol w:w="536"/>
        <w:gridCol w:w="109"/>
        <w:gridCol w:w="109"/>
        <w:gridCol w:w="109"/>
        <w:gridCol w:w="109"/>
        <w:gridCol w:w="315"/>
        <w:gridCol w:w="315"/>
        <w:gridCol w:w="316"/>
        <w:gridCol w:w="109"/>
        <w:gridCol w:w="109"/>
        <w:gridCol w:w="109"/>
        <w:gridCol w:w="211"/>
        <w:gridCol w:w="466"/>
        <w:gridCol w:w="109"/>
        <w:gridCol w:w="109"/>
        <w:gridCol w:w="109"/>
        <w:gridCol w:w="109"/>
        <w:gridCol w:w="211"/>
        <w:gridCol w:w="406"/>
        <w:gridCol w:w="109"/>
        <w:gridCol w:w="255"/>
        <w:gridCol w:w="255"/>
        <w:gridCol w:w="256"/>
        <w:gridCol w:w="229"/>
        <w:gridCol w:w="507"/>
        <w:gridCol w:w="120"/>
        <w:gridCol w:w="109"/>
        <w:gridCol w:w="109"/>
        <w:gridCol w:w="109"/>
        <w:gridCol w:w="290"/>
        <w:gridCol w:w="290"/>
        <w:gridCol w:w="41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647" w:type="dxa"/>
            <w:gridSpan w:val="4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increase</w:t>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expenses included asset and other restructuring-related costs of $0.2 million, employee and personnel-related costs of $0.1 million, and an adjustment to contract and external obligation costs of $0.7 million for the three months ended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expenses included asset and other restructuring-related costs of $0.5 million, employee and personnel-related costs of $0.4 million, and an adjustment to contract and external obligation costs of $0.7 million for the six months ended June 30, 2026.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details on Powering Honest Growth, refer to “Transformation 2.0: Powering Honest Growth” above and Note 12, “Restructuring” in the condensed consolidated financial statements included elsewhere in this Quarterly Report on Form 10-Q. For the three and six months ended June 30, 2025, we did not incur any restructuring expenses.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1" w:after="1"/>
        <w:jc w:val="left"/>
        <w:rPr/>
      </w:pPr>
      <w:r>
        <w:r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11"/>
        <w:gridCol w:w="536"/>
        <w:gridCol w:w="109"/>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11"/>
        <w:gridCol w:w="536"/>
        <w:gridCol w:w="109"/>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$1.7 million for the three months ended June 30, 2026, as compared to $2.0 million for three months ended June 30,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$3.6 million for the six months ended June 30, 2026, as compared to $3.8 million for the six months ended June 30, 2025. </w:t>
      </w:r>
    </w:p>
    <w:p>
      <w:pPr>
        <w:pStyle w:val="TextBody"/>
        <w:bidi w:val="0"/>
        <w:spacing w:before="1" w:after="1"/>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910"/>
        <w:gridCol w:w="801"/>
        <w:gridCol w:w="804"/>
        <w:gridCol w:w="232"/>
        <w:gridCol w:w="679"/>
        <w:gridCol w:w="120"/>
        <w:gridCol w:w="120"/>
        <w:gridCol w:w="120"/>
        <w:gridCol w:w="120"/>
        <w:gridCol w:w="232"/>
        <w:gridCol w:w="679"/>
        <w:gridCol w:w="120"/>
        <w:gridCol w:w="109"/>
        <w:gridCol w:w="109"/>
        <w:gridCol w:w="109"/>
        <w:gridCol w:w="229"/>
        <w:gridCol w:w="507"/>
        <w:gridCol w:w="120"/>
        <w:gridCol w:w="109"/>
        <w:gridCol w:w="109"/>
        <w:gridCol w:w="109"/>
        <w:gridCol w:w="211"/>
        <w:gridCol w:w="616"/>
        <w:gridCol w:w="109"/>
        <w:gridCol w:w="109"/>
        <w:gridCol w:w="109"/>
        <w:gridCol w:w="109"/>
        <w:gridCol w:w="211"/>
        <w:gridCol w:w="616"/>
        <w:gridCol w:w="109"/>
        <w:gridCol w:w="109"/>
        <w:gridCol w:w="109"/>
        <w:gridCol w:w="109"/>
        <w:gridCol w:w="229"/>
        <w:gridCol w:w="507"/>
        <w:gridCol w:w="120"/>
        <w:gridCol w:w="109"/>
        <w:gridCol w:w="109"/>
        <w:gridCol w:w="158"/>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75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$1.2 million for the three months ended June 30, 2026, as compared to net income of $1.0 million for the three months ended June 30, 2025.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$1.8 million for the six months ended June 30, 2026, as compared to net income of $1.8 million for the six months ended June 30, 2025.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$105.9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condensed consolidated financial statements. We will need to generate sufficient cash from operations or may need to raise additional capital to meet our long-term working capital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expenditure needs in the future. We also have availability under our 2026 Credit Facility, which was not drawn as of June 30,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2026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First Amendment to Credit Agreement and First Amendment to Pledge and Security Agreement (the “Amendment”) with JPMorgan Chase Bank, N.A. (“JPMorgan”), as administrative agent and lender, and the other lenders party thereto (together with JPMorgan, the “Lenders”), which amended the terms of the then existing first lien credit agreement (the “2023 Credit Facility”), extended the maturity date of the senior secured revolving credit facility (the “2026 Credit Facility”) and modified the borrowing formula and modified the interest rate.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provides a revolving credit facility in an aggregate principal amount of up to $35.0 million (the “Commitment Amount”) and includes a sub-facility that provides for the issuance of letters of credit in an amount of up to $15.0 million at any time outstanding. If more than 50% of the Commitment Amount is outstanding, availability of the 2026 Credit Facility will be based upon a borrowing base formula and periodic borrowing base certifications valuing certain of our accounts receivable and inventory as reduced by certain reserves, if any. The 2026 Credit Facility includes an uncommitted accordion feature that allows for increases in the Commitment Amount to as much as an additional $35.0 million, for up to $70.0 million in potential revolving commitments. The 2026 Credit Facility is subject to customary fees for loan facilities of this type, including a commitment fee based on the average daily undrawn portion of the 2026 Credit Facility. We recognize the commitment fee as incurred in interest and other income (expense), net in the condensed consolidated statements of comprehensive income. For the three and six months ended June 30, 2026, the commitment fee incurred was immaterial. As of June 30, 2026, there were $2.7 million of outstanding letters of credit. As of June 30, 2026, there was no outstanding borrowing under the 2026 Credit Facility, but the letters of credit reduce the amount available under the 2026 Credit Facility on a dollar-for-dollar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2026 Credit Facility will be, at our option, either (a) the Adjusted Term SOFR Rate (subject to a 0.00% floor), plus a margin ranging from 1.75% to 2.25% or (b) the CB floating rate, (i) plus a margin of 0.00% or 0.25% or (ii) minus a margin of 0.25%. The margin will be based upon our leverage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will terminate and borrowings thereunder, if any, will be due in full on March 31, 2029. Debt under the 2026 Credit Facility will be guaranteed by substantially all of our material domestic subsidiaries and will be secured by substantially all of our and such subsidiaries’ assets.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certain affirmative and negative covenants including financial covenants related to a minimum total fixed charge coverage ratio and a maximum total leverage ratio, each calculated on a trailing four fiscal quarter basis at the end of each fiscal quarter. The 2026 Credit Facility also includes customary events of default. The 2026 Credit Facility contains covenants that restrict, among other things, our ability to sell assets, make investments and acquisitions, incur indebtedness, grant liens, change our lines of business, pay dividends and make certain other restricted payments, each subject to customary exceptions. Failure to do so, unless waived by the Lenders under the 2026 Credit Facility pursuant to its terms would result in an event of default under the 2026 Credit Facility. As of June 30, 2026, we are in compliance with all covenants under the 2026 Credit Facility.</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5, “Credit Facilities” included in the condensed consolidated financial statements included elsewhere in this Quarterly Report on Form 10-Q for more information on the 2026 Credit Facility. </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no changes to our material cash requirements from those described under “Management's Discussion and Analysis of Financial Condition and Results of Operations” in our Annual Report, except for the corporate office lease entered into in June 2026. Refer to Note 11, “Leases” included in the condensed consolidated financial statements included elsewhere in this Quarterly Report on Form 10-Q for more information on the corporate office lease.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209" w:type="dxa"/>
        <w:jc w:val="left"/>
        <w:tblInd w:w="0" w:type="dxa"/>
        <w:tblLayout w:type="fixed"/>
        <w:tblCellMar>
          <w:top w:w="28" w:type="dxa"/>
          <w:left w:w="28" w:type="dxa"/>
          <w:bottom w:w="28" w:type="dxa"/>
          <w:right w:w="28" w:type="dxa"/>
        </w:tblCellMar>
      </w:tblPr>
      <w:tblGrid>
        <w:gridCol w:w="1526"/>
        <w:gridCol w:w="1343"/>
        <w:gridCol w:w="1346"/>
        <w:gridCol w:w="253"/>
        <w:gridCol w:w="955"/>
        <w:gridCol w:w="130"/>
        <w:gridCol w:w="130"/>
        <w:gridCol w:w="130"/>
        <w:gridCol w:w="130"/>
        <w:gridCol w:w="253"/>
        <w:gridCol w:w="829"/>
        <w:gridCol w:w="184"/>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37,769 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from the sales of our products to our customers. Our primary uses of cash from operating activities are for cost of revenue, selling, general and administrative expenses, marketing expenses and research and development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$37.8 million for the six months ended June 30, 2026 was primarily due to a net increase in cash related to changes in operating assets and liabilities of $15.2 million, non-cash adjustments of $11.9 million and net income of $10.6 million. The change in operating assets and liabilities primarily consisted of a $23.0 million decrease in inventory as part of our Operating Discipline pillar, partially offset by a $4.4 million increase in accounts receivable, a $2.3 million use of cash due to operating lease obligations and a $0.8 million increase in prepaid expenses and other assets. Non-cash adjustments primarily consisted of stock-based compensation of $5.5 million, amortization of operating Right-of-Use (“ROU”) assets of $3.3 million and depreciation and amortization of $1.3 million. Non-cash adjustments for accounts receivable reserves, inventory reserves, donation expense and utilization and write-off of marketing and transportation credits are included in "other" in the accompanying condensed consolidated statements of cash flows.</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of $3.7 million for the six months ended June 30, 2025 was primarily due to a net decrease in cash related to changes in operating assets and liabilities of $22.9 million, partially offset by non-cash adjustments of $12.1 million and net income of $7.1 million. Cash used in operating activities primarily consisted of a $11.4 million increase in inventory, a $6.5 million decrease in accounts payable and accrued expenses due to timing of payments, a $4.2 million use of cash due to operating lease obligations, and a $1.6 million increase in accounts receivable, partially offset by a $1.0 million decrease in prepaid expenses and other assets. Non-cash adjustments primarily consisted of stock-based compensation of $5.1 million, amortization of operating ROU assets of $3.3 million, and depreciation and amortization of $1.5 million.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investing cash is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$2.5 million and $0.1 million for the six months ended June 30, 2026, and June 30, 2025, respectively, was due to the purchase of property and equipment.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share repurchases,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of $19.0 million for the six months ended June 30, 2026 primarily consisted of repurchases of common stock.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$0.5 million for the six months ended June 30, 2025 consisted primarily of $0.4 million of proceeds from stock option award exercises.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Share Repurchase Program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On February 20, 2026, our Board of Directors approved our first share repurchase program for up to $25.0 million of our outstanding common stock. Under the program, share repurchases may be made at our discretion from time to time in open market transactions or privately negotiated transactions, or by other means, including through Rule 10b5-1 trading plans. The timing and number of shares repurchased under the new program will depend on a variety of factors, including, without limitation, stock price and trading volume. The repurchase program does not obligate us to purchase any shares, has no expiration date and may be modified, suspended or terminated at any time. We expect to fund repurchases with a combination of existing cash and cash equivalents and cash flows from operations.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231F20"/>
          <w:sz w:val="20"/>
        </w:rPr>
        <w:t>We repurchased approximately 5.6 million</w:t>
      </w:r>
      <w:r>
        <w:rPr>
          <w:color w:val="000000"/>
        </w:rPr>
        <w:t xml:space="preserve"> </w:t>
      </w:r>
      <w:r>
        <w:rPr>
          <w:rFonts w:ascii="Times New Roman;serif" w:hAnsi="Times New Roman;serif"/>
          <w:b w:val="false"/>
          <w:color w:val="231F20"/>
          <w:sz w:val="20"/>
        </w:rPr>
        <w:t xml:space="preserve">shares of common stock at a weighted average share price of $3.35 per share, for an aggregate amount of approximately $18.7 million, during the </w:t>
      </w:r>
      <w:r>
        <w:rPr>
          <w:rFonts w:ascii="Times New Roman;serif" w:hAnsi="Times New Roman;serif"/>
          <w:b w:val="false"/>
          <w:color w:val="000000"/>
          <w:sz w:val="20"/>
        </w:rPr>
        <w:t>six months ended June 30, 2026</w:t>
      </w:r>
      <w:r>
        <w:rPr>
          <w:rFonts w:ascii="Times New Roman;serif" w:hAnsi="Times New Roman;serif"/>
          <w:b w:val="false"/>
          <w:color w:val="231F20"/>
          <w:sz w:val="20"/>
        </w:rPr>
        <w:t xml:space="preserve">. 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approximately $6.3 million remained available under the share repurchase program. As of August 5, 2026, </w:t>
      </w:r>
      <w:r>
        <w:rPr>
          <w:rFonts w:ascii="Times New Roman;serif" w:hAnsi="Times New Roman;serif"/>
          <w:b w:val="false"/>
          <w:color w:val="000000"/>
          <w:sz w:val="20"/>
        </w:rPr>
        <w:t>we</w:t>
      </w:r>
      <w:r>
        <w:rPr>
          <w:color w:val="231F20"/>
        </w:rPr>
        <w:t xml:space="preserve"> </w:t>
      </w:r>
      <w:r>
        <w:rPr>
          <w:rFonts w:ascii="Times New Roman;serif" w:hAnsi="Times New Roman;serif"/>
          <w:b w:val="false"/>
          <w:color w:val="231F20"/>
          <w:sz w:val="20"/>
        </w:rPr>
        <w:t xml:space="preserve">repurchased approximately the full </w:t>
      </w:r>
      <w:r>
        <w:rPr>
          <w:rFonts w:ascii="Times New Roman;serif" w:hAnsi="Times New Roman;serif"/>
          <w:b w:val="false"/>
          <w:color w:val="000000"/>
          <w:sz w:val="20"/>
        </w:rPr>
        <w:t>$25.0 million of our outstanding common stock under the share repurchase program</w:t>
      </w:r>
      <w:r>
        <w:rPr>
          <w:rFonts w:ascii="Times New Roman;serif" w:hAnsi="Times New Roman;serif"/>
          <w:b w:val="false"/>
          <w:color w:val="231F20"/>
          <w:sz w:val="20"/>
        </w:rPr>
        <w:t xml:space="preserve">. </w:t>
      </w:r>
    </w:p>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8, “Stockholders' Equity” included in the condensed consolidated financial statements included elsewhere in this Quarterly Report on Form 10-Q for more information on the share repurchase program. </w:t>
      </w:r>
    </w:p>
    <w:p>
      <w:pPr>
        <w:pStyle w:val="TextBody"/>
        <w:bidi w:val="0"/>
        <w:spacing w:before="0" w:after="0"/>
        <w:ind w:left="0" w:right="0" w:firstLine="720"/>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2026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and present our condensed consolidated financial statements in accordance with GAAP. However, management believes that Organic Revenue and Adjusted EBITDA, which are non-GAAP financial measures, provide investors with additional useful information in evaluating our performance. </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Organic Revenue as net revenue, adjusted to exclude revenue from exited operations in connection with Powering Honest Growth including: (1) product revenue from our apparel line; (2) revenue from our Honest.com website as a fulfillment center; (3) revenue from sales to Canadian retailers or channels and (4) in certain periods, revenue from other acquisitions, divestitures and product or channel exits.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adjusted to exclude: (1) interest and other (income) expense, net; (2) income tax provision; (3) depreciation and amortization; (4) stock-based compensation expense, including payroll tax; (5) litigation and settlement fees associated with certain non-ordinary course securities litigation claims; (6) executive officer transition expenses; and (7) restructuring-related expenses in connection with Powering Honest Growth.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Revenue and Adjusted EBITDA are financial measures that are not required by, or presented in accordance with GAAP. We believe that Organic Revenue and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Organic Revenue and Adjusted EBITDA are helpful to our investors as they are measures used by management in assessing the health of our business, determining incentive compensation and evaluating our operating performance, as well as for internal planning and forecasting purposes. Additionally, we believe Organic Revenue is helpful to our investors as it adjusts for revenue sources that we exited in connection with Powering Honest Growth.</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believe Organic Revenue is helpful to our investors as it adjusts for revenue sources that we exited in connection with Powering Honest Growth. We anticipate disclosing this measure until the exited revenue streams are removed from the comparable prior period.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and Organic Revenue may not be comparable to similarly titled measures of other companies because they may not calculate Adjusted EBITDA in the same manner, limiting its usefulness as a comparative measure. Because of these limitations, when evaluating our performance, you should consider Organic Revenue and Adjusted EBITDA alongside other financial measures, including our revenue, net income and other results stated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revenue, the most directly comparable financial measure stated in accordance with GAAP, to Organic Revenue, for each of the periods presented: </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384"/>
        <w:gridCol w:w="1217"/>
        <w:gridCol w:w="1223"/>
        <w:gridCol w:w="269"/>
        <w:gridCol w:w="924"/>
        <w:gridCol w:w="139"/>
        <w:gridCol w:w="139"/>
        <w:gridCol w:w="139"/>
        <w:gridCol w:w="139"/>
        <w:gridCol w:w="269"/>
        <w:gridCol w:w="924"/>
        <w:gridCol w:w="139"/>
        <w:gridCol w:w="109"/>
        <w:gridCol w:w="109"/>
        <w:gridCol w:w="109"/>
        <w:gridCol w:w="234"/>
        <w:gridCol w:w="921"/>
        <w:gridCol w:w="120"/>
        <w:gridCol w:w="120"/>
        <w:gridCol w:w="120"/>
        <w:gridCol w:w="120"/>
        <w:gridCol w:w="234"/>
        <w:gridCol w:w="921"/>
        <w:gridCol w:w="183"/>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Revenue to Organic Revenue</w:t>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161,402 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revenue from:</w:t>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Apparel</w:t>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Honest.com</w:t>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w:t>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80,189 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75,123 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158,288 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150,279 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539"/>
        <w:gridCol w:w="1252"/>
        <w:gridCol w:w="1258"/>
        <w:gridCol w:w="270"/>
        <w:gridCol w:w="924"/>
        <w:gridCol w:w="139"/>
        <w:gridCol w:w="139"/>
        <w:gridCol w:w="139"/>
        <w:gridCol w:w="139"/>
        <w:gridCol w:w="270"/>
        <w:gridCol w:w="789"/>
        <w:gridCol w:w="139"/>
        <w:gridCol w:w="109"/>
        <w:gridCol w:w="109"/>
        <w:gridCol w:w="109"/>
        <w:gridCol w:w="247"/>
        <w:gridCol w:w="844"/>
        <w:gridCol w:w="127"/>
        <w:gridCol w:w="127"/>
        <w:gridCol w:w="127"/>
        <w:gridCol w:w="127"/>
        <w:gridCol w:w="247"/>
        <w:gridCol w:w="844"/>
        <w:gridCol w:w="191"/>
      </w:tblGrid>
      <w:tr>
        <w:trPr/>
        <w:tc>
          <w:tcPr>
            <w:tcW w:w="15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litigation expense</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officer transition expense</w:t>
            </w:r>
            <w:r>
              <w:rPr>
                <w:rFonts w:ascii="Times New Roman;serif" w:hAnsi="Times New Roman;serif"/>
                <w:b w:val="false"/>
                <w:color w:val="000000"/>
                <w:sz w:val="13"/>
              </w:rPr>
              <w:t>(1)</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Restructuring-related costs</w:t>
            </w:r>
            <w:r>
              <w:rPr>
                <w:rFonts w:ascii="Times New Roman;serif" w:hAnsi="Times New Roman;serif"/>
                <w:b w:val="false"/>
                <w:color w:val="000000"/>
                <w:sz w:val="13"/>
              </w:rPr>
              <w:t>(2)</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related to stock-based compensation</w:t>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14,453 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18,403 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14,545 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w:t>
      </w:r>
    </w:p>
    <w:p>
      <w:pPr>
        <w:pStyle w:val="TextBody"/>
        <w:bidi w:val="0"/>
        <w:spacing w:lineRule="auto" w:line="268"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(1) For the three and six months ended June 30, 2026 and 2025, this includes bonus costs related to our Chief Financial Officer transition, as well as separation and recruiting costs related to our Chief Financial Officer transition for the three and six months ended June 30, 2025. </w:t>
      </w:r>
    </w:p>
    <w:p>
      <w:pPr>
        <w:pStyle w:val="TextBody"/>
        <w:bidi w:val="0"/>
        <w:spacing w:lineRule="auto" w:line="276"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See Note 12 “Restructuring” in our condensed consolidated financial statements included elsewhere in this Quarterly Report on Form 10-Q for items included in restructuring-related costs.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six months ended June 30, 2026, there were no material changes to our critical accounting estimates from those discussed in our Annual Report.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We will no longer qualify as an emerging growth company as of December 31, 2026, or earlier if certain conditions exist.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inflation risk. </w:t>
      </w:r>
    </w:p>
    <w:p>
      <w:pPr>
        <w:pStyle w:val="TextBody"/>
        <w:bidi w:val="0"/>
        <w:spacing w:before="0" w:after="0"/>
        <w:jc w:val="left"/>
        <w:rPr/>
      </w:pPr>
      <w:r>
        <w:rPr/>
      </w:r>
    </w:p>
    <w:p>
      <w:pPr>
        <w:pStyle w:val="TextBody"/>
        <w:bidi w:val="0"/>
        <w:spacing w:lineRule="auto" w:line="288" w:before="1" w:after="1"/>
        <w:jc w:val="left"/>
        <w:rPr/>
      </w:pPr>
      <w:r>
        <w:rPr>
          <w:color w:val="000000"/>
        </w:rPr>
        <w:t> </w:t>
      </w:r>
      <w:r>
        <w:rPr>
          <w:rFonts w:ascii="Times New Roman;serif" w:hAnsi="Times New Roman;serif"/>
          <w:b/>
          <w:i/>
          <w:color w:val="000000"/>
          <w:sz w:val="20"/>
        </w:rPr>
        <w:t xml:space="preserve">Interest Rate Risk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$105.9 million as of June 30, 2026, which consisted of short-term, highly liquid investments with stated maturities of three months or less.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interest rate risk in connection with our 2026 Credit Facility. See the section titled “Liquidity and Capital Resources—2026 Credit Facility” above. To the extent that borrowings were outstanding, we do not believe that a hypothetical 10% change in the interest rate would have a material effect on our results of operations or financial condition for the three and six months ended June 30, 2026.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may continue to experience an increase in commodity prices, labor costs, input costs and transportation costs. As part of Powering Honest Growth, we have implemented a robust cost-savings program, including optimization of our contract manufacturing strategies, optimization of our supply chain footprint and inventory management, along with leveraging technology to improve systems, reduced shipping and logistic costs, and product costs. If we are unable to offset these changing costs through further cost saving initiatives, price increases or cost reductions, our inability or failure to do so could harm our business, results of operations and financial condition.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maintain “disclosure controls a</w:t>
      </w:r>
      <w:r>
        <w:rPr>
          <w:rFonts w:ascii="Times New Roman;serif" w:hAnsi="Times New Roman;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erif" w:hAnsi="Times New Roman;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erif" w:hAnsi="Times New Roman;serif"/>
          <w:b w:val="false"/>
          <w:color w:val="000000"/>
          <w:sz w:val="20"/>
        </w:rPr>
        <w:t xml:space="preserve">Our management, with the participation of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evaluated, as of the period ended June 30, 2026,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the Company's internal control over financial reporting that occurred during the quarter ended June 30, 2026 that has materially affected, or is reasonably likely to materially affect, the Company's internal control over financial reporting.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under the heading “Litigation” in Note 7 to our condensed consolidated financial statements included in this Quarterly Report on Form 10-Q is incorporated by reference into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strategic initiatives, including as part of the Transformation Initiative and Transformation 2.0: Powering Honest Growth, to reduce our costs could have short and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be unable to accurately forecast revenue, gross margin or operating expenses and appropriately plan our expenses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compete successfully in our highly competitive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Overall macroeconomic trends, including due to geopolitical uncertainty,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we fail to manage our inventory effectively, our business, financial condition, results of operations and liquidity may be materially and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secure, maintain and increase our presence with retailers could adversely impact our revenue, and in turn our business, financial condition, results of operations and prospects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International trade disputes and the U.S. government’s trade policy, including recently enacted tariffs and potential new tariffs, could adversely affect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may be adversely affected if we are unable to respond and adapt to rapid changes in technology.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rely on third-party suppliers, manufacturers, retail and ecommerce customers and other vendors, and they may not continue to produce products or provide services that are consistent with our standards or applicable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which could adversely affect our business, harm our brand, cause consumer dissatisfaction, and require us to find alternative suppliers of our products or services.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are subject to international business uncertainties.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Increased international operations may be subject to risks such as: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231F20"/>
          <w:sz w:val="20"/>
        </w:rPr>
        <w:t>burdens of complying with a wide variety of laws and regulations, including more stringent regulations relating to data privacy and security, particularly in the European Union;</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adverse tax effects and foreign exchange controls making it difficult to repatriate earnings and cash;</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political and economic instability;</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terrorist activities and natural disasters;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trade restrictions;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differing employment practices and laws and labor disruptions;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the imposition of government controls;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an inability to use or to obtain adequate intellectual property protection for our brand and key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difficulties in enforcing contracts and legal decisions;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tariffs and customs duties and the classifications of our goods by applicable governmental bodies;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 legal system subject to undue influence or corruption;</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a business culture in which illegal sales practices may be prevalent;</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logistics and sourcing; and</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military conflicts.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The occurrence of any of these risks could have an adverse effect on our international business and consequently our overall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addition, while we do not currently have operations in Russia, Ukraine, or the Middle East, due to the impact of the ongoing conflicts in those regions on the global economy, we have experienced and may continue to experience supply chain constraints; inflation in input costs, logistics, manufacturing, and labor costs; volatility in fuel and commodity prices and fluctuations in foreign exchange rates and interest rates, any of which could adversely impact our results of operations.</w:t>
      </w:r>
      <w:r>
        <w:rPr>
          <w:color w:val="000000"/>
        </w:rPr>
        <w:t xml:space="preserve"> </w:t>
      </w:r>
      <w:r>
        <w:rPr>
          <w:rFonts w:ascii="Times New Roman;serif" w:hAnsi="Times New Roman;serif"/>
          <w:b w:val="false"/>
          <w:color w:val="000000"/>
          <w:sz w:val="20"/>
        </w:rPr>
        <w:t>In particular, the raw materials and packaging in our personal care products include petrochemicals, which have, and may continue to, experience increased prices which may adversely impact our operating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conditions could further adversely affect our business in several ways. Increased energy prices and shipping costs may raise the cost of goods sourced from our suppliers in China and other foreign countries, and our suppliers and manufacturers may pass those increased costs on to us or experience production disruptions. Prolonged disruption to global supply chains could delay the receipt of raw materials and finished goods, impair our ability to fulfill customer orders, and increase the cost of maintaining adequate inventory levels. Heightened sanctions enforcement, including U.S. designations targeting entities in China and other countries for facilitating Iranian trade networks, could affect our supply chain relationships or require additional compliance diligence. More broadly, sustained regional instability, rising energy costs, and the risk of global economic slowdown could reduce consumer demand for our products. There can be no assurance that these conditions will not worsen or that further escalation will not occur. Any of the foregoing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repurchase activity for the three months ended June 30, 2026 (in thousands, except for price per share) and the approximate dollar value of shares that may yet be purchased pursuant to our authorized share repurchase program:</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4"/>
        <w:gridCol w:w="249"/>
        <w:gridCol w:w="251"/>
        <w:gridCol w:w="109"/>
        <w:gridCol w:w="109"/>
        <w:gridCol w:w="109"/>
        <w:gridCol w:w="720"/>
        <w:gridCol w:w="435"/>
        <w:gridCol w:w="436"/>
        <w:gridCol w:w="109"/>
        <w:gridCol w:w="109"/>
        <w:gridCol w:w="109"/>
        <w:gridCol w:w="343"/>
        <w:gridCol w:w="834"/>
        <w:gridCol w:w="179"/>
        <w:gridCol w:w="109"/>
        <w:gridCol w:w="109"/>
        <w:gridCol w:w="109"/>
        <w:gridCol w:w="992"/>
        <w:gridCol w:w="747"/>
        <w:gridCol w:w="749"/>
        <w:gridCol w:w="109"/>
        <w:gridCol w:w="109"/>
        <w:gridCol w:w="109"/>
        <w:gridCol w:w="389"/>
        <w:gridCol w:w="1997"/>
        <w:gridCol w:w="292"/>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Total number of shares purchased as part of the publicly announced plans or programs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Approximate dollar value of shares that may yet be purchased under the plans or programs</w:t>
            </w:r>
            <w:r>
              <w:rPr>
                <w:rFonts w:ascii="Times New Roman;serif" w:hAnsi="Times New Roman;serif"/>
                <w:b w:val="false"/>
                <w:color w:val="000000"/>
                <w:sz w:val="13"/>
              </w:rPr>
              <w:t>(1)</w:t>
            </w:r>
          </w:p>
        </w:tc>
      </w:tr>
      <w:tr>
        <w:trPr/>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r>
      <w:tr>
        <w:trPr/>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r>
      <w:tr>
        <w:trPr/>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8" w:type="dxa"/>
            <w:gridSpan w:val="3"/>
            <w:tcBorders/>
            <w:vAlign w:val="center"/>
          </w:tcPr>
          <w:p>
            <w:pPr>
              <w:pStyle w:val="TableContents"/>
              <w:bidi w:val="0"/>
              <w:spacing w:before="0" w:after="283"/>
              <w:jc w:val="left"/>
              <w:rPr>
                <w:sz w:val="4"/>
                <w:szCs w:val="4"/>
              </w:rPr>
            </w:pPr>
            <w:r>
              <w:rPr>
                <w:sz w:val="4"/>
                <w:szCs w:val="4"/>
              </w:rPr>
            </w:r>
          </w:p>
        </w:tc>
      </w:tr>
      <w:tr>
        <w:trPr/>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April 1, 2026 - </w:t>
              <w:b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2,056,843 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2,056,843 </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14,932,726 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May 1, 2026 - </w:t>
              <w:b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911,392 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911,392 </w:t>
            </w:r>
          </w:p>
        </w:tc>
        <w:tc>
          <w:tcPr>
            <w:tcW w:w="7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11,751,754 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1, 2026 -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1,554,676 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1,554,676 </w:t>
            </w:r>
          </w:p>
        </w:tc>
        <w:tc>
          <w:tcPr>
            <w:tcW w:w="7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6,299,865 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4,522,911 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3"/>
        </w:rPr>
        <w:t xml:space="preserve">(1) </w:t>
      </w:r>
      <w:r>
        <w:rPr>
          <w:rFonts w:ascii="Times New Roman;serif" w:hAnsi="Times New Roman;serif"/>
          <w:b w:val="false"/>
          <w:color w:val="231F20"/>
          <w:sz w:val="13"/>
        </w:rPr>
        <w:t xml:space="preserve">On February 20, 2026, the Company's Board of Directors approved the Company's first share repurchase program for up to $25.0 million of its outstanding common stock. The repurchase program has no expiration date and may be modified, suspended or terminated </w:t>
      </w:r>
      <w:r>
        <w:rPr>
          <w:rFonts w:ascii="Times New Roman;serif" w:hAnsi="Times New Roman;serif"/>
          <w:b w:val="false"/>
          <w:color w:val="000000"/>
          <w:sz w:val="13"/>
        </w:rPr>
        <w:t xml:space="preserve">at any time.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contracts, instructions or written plans adopted or terminated during the quarter ended June 30, 2026 providing for the purchase and/or sale of the Company's securities by the Company’s directors and officers (as defined in Rule 16a-1(f) under the Exchange Act):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28"/>
        <w:gridCol w:w="376"/>
        <w:gridCol w:w="380"/>
        <w:gridCol w:w="651"/>
        <w:gridCol w:w="651"/>
        <w:gridCol w:w="659"/>
        <w:gridCol w:w="269"/>
        <w:gridCol w:w="269"/>
        <w:gridCol w:w="273"/>
        <w:gridCol w:w="232"/>
        <w:gridCol w:w="232"/>
        <w:gridCol w:w="238"/>
        <w:gridCol w:w="305"/>
        <w:gridCol w:w="305"/>
        <w:gridCol w:w="305"/>
        <w:gridCol w:w="493"/>
        <w:gridCol w:w="374"/>
        <w:gridCol w:w="359"/>
        <w:gridCol w:w="689"/>
        <w:gridCol w:w="689"/>
        <w:gridCol w:w="692"/>
        <w:gridCol w:w="388"/>
        <w:gridCol w:w="388"/>
        <w:gridCol w:w="560"/>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Action</w:t>
            </w:r>
          </w:p>
        </w:tc>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Rule 10b5-1</w:t>
            </w:r>
            <w:r>
              <w:rPr>
                <w:rFonts w:ascii="Times New Roman;serif" w:hAnsi="Times New Roman;serif"/>
                <w:b/>
                <w:color w:val="000000"/>
                <w:sz w:val="13"/>
              </w:rPr>
              <w:t>(1)</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Non-Rule 10b5-1</w:t>
            </w:r>
            <w:r>
              <w:rPr>
                <w:rFonts w:ascii="Times New Roman;serif" w:hAnsi="Times New Roman;serif"/>
                <w:b/>
                <w:color w:val="000000"/>
                <w:sz w:val="13"/>
              </w:rPr>
              <w:t>(2)</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Shares of Common Stock to be Sold</w:t>
            </w:r>
            <w:r>
              <w:rPr>
                <w:rFonts w:ascii="Times New Roman;serif" w:hAnsi="Times New Roman;serif"/>
                <w:b/>
                <w:color w:val="000000"/>
                <w:sz w:val="13"/>
              </w:rPr>
              <w:t>(3)</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Expiration Date</w:t>
            </w:r>
            <w:r>
              <w:rPr>
                <w:rFonts w:ascii="Times New Roman;serif" w:hAnsi="Times New Roman;serif"/>
                <w:b/>
                <w:color w:val="000000"/>
                <w:sz w:val="13"/>
              </w:rPr>
              <w:t>(3)</w:t>
            </w:r>
          </w:p>
        </w:tc>
      </w:tr>
      <w:tr>
        <w:trPr/>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Thomas Sternweis</w:t>
            </w:r>
          </w:p>
        </w:tc>
        <w:tc>
          <w:tcPr>
            <w:tcW w:w="1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Enterprise Strategy</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Adopted</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6/15/2026</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119,158</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6/15/2027</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Contract, instruction or written plan intended to satisfy the affirmative defense conditions of Rule10b5-1(c)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Non-Rule Rule 10b5-1 trading arrangement as defined in Item 408(c) of Regulation S-K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 Each 10b5-1 trading plan terminates on the earlier of: (i) the expiration date listed in the table above; (ii) the first date on which all trades set forth in such 10b5-1 trading plan have been executed; or (iii) such date when the 10b5-1 trading plan is otherwise terminated according to its terms.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88"/>
        <w:gridCol w:w="340"/>
        <w:gridCol w:w="342"/>
        <w:gridCol w:w="109"/>
        <w:gridCol w:w="109"/>
        <w:gridCol w:w="109"/>
        <w:gridCol w:w="2703"/>
        <w:gridCol w:w="2519"/>
        <w:gridCol w:w="3586"/>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7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currently in effect (incorporated herein by reference to Exhibit 3.1 to the Company’s Current Report on Form 8-K (File No. 001-40378), filed with the SEC on March 12, 2025).</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Amendment to Credit Agreement and First Amendment to Pledge and Security Agreement (incorporated herein by reference to Exhibit 10.1 to the Company’s Current Report on Form 8-K (File No. 001-40378), filed with the SEC on April 6, 2026).</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Lease, dated June 14, 2026, between The Honest Company, Inc. and Dellwood Farm LLC (incorporated herein by reference to Exhibit 10.1 to the Company’s Current Report on Form 8-K (File No. 001-40378), filed with the SEC on June 18, 2026).</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6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and Rule 15d-14(a), as adopted pursuant to Section 302 of the Sarbanes-Oxley Act of 2002</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6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and Rule 15d-14(a), as adopted pursuant to Section 302 of the Sarbanes-Oxley Act of 2002</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6exhibit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Certification of Principal Executive Officer pursuant to 18 U.S.C. Section 1350, as adopted pursuant to Section 906 of the Sarbanes-Oxley Act of 2002 </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6exhibit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—the instance document does not appear in the Interactive Data File because its XBRL tags are embedded within the Inline XBRL document.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erif" w:hAnsi="Times New Roman;serif"/>
          <w:b w:val="false"/>
          <w:color w:val="000000"/>
          <w:sz w:val="13"/>
        </w:rPr>
      </w:pPr>
      <w:r>
        <w:rPr>
          <w:rFonts w:ascii="Times New Roman;serif" w:hAnsi="Times New Roman;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lineRule="auto" w:line="196" w:before="0" w:after="0"/>
        <w:jc w:val="left"/>
        <w:rPr>
          <w:rFonts w:ascii="Times New Roman;serif" w:hAnsi="Times New Roman;serif"/>
          <w:b w:val="false"/>
          <w:color w:val="000000"/>
          <w:sz w:val="13"/>
        </w:rPr>
      </w:pPr>
      <w:r>
        <w:rPr>
          <w:rFonts w:ascii="Times New Roman;serif" w:hAnsi="Times New Roman;serif"/>
          <w:b w:val="false"/>
          <w:color w:val="000000"/>
          <w:sz w:val="13"/>
        </w:rPr>
        <w:t>+ Certain schedules have been omitted pursuant to Item 601(a)(5) of Regulation S-K under the Securities Act of 1933, as amended. The Company agrees to furnish supplementally any omitted schedules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486" w:type="dxa"/>
        <w:jc w:val="left"/>
        <w:tblInd w:w="0" w:type="dxa"/>
        <w:tblLayout w:type="fixed"/>
        <w:tblCellMar>
          <w:top w:w="28" w:type="dxa"/>
          <w:left w:w="28" w:type="dxa"/>
          <w:bottom w:w="28" w:type="dxa"/>
          <w:right w:w="28" w:type="dxa"/>
        </w:tblCellMar>
      </w:tblPr>
      <w:tblGrid>
        <w:gridCol w:w="667"/>
        <w:gridCol w:w="587"/>
        <w:gridCol w:w="590"/>
        <w:gridCol w:w="359"/>
        <w:gridCol w:w="359"/>
        <w:gridCol w:w="359"/>
        <w:gridCol w:w="1621"/>
        <w:gridCol w:w="1621"/>
        <w:gridCol w:w="232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Carla Vernón </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Curtiss Bruce</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Executive Vice President, Chief Financial and Operating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Operating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Curtiss Bruce,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8169" w:type="dxa"/>
        <w:jc w:val="left"/>
        <w:tblInd w:w="0" w:type="dxa"/>
        <w:tblLayout w:type="fixed"/>
        <w:tblCellMar>
          <w:top w:w="28" w:type="dxa"/>
          <w:left w:w="28" w:type="dxa"/>
          <w:bottom w:w="28" w:type="dxa"/>
          <w:right w:w="28" w:type="dxa"/>
        </w:tblCellMar>
      </w:tblPr>
      <w:tblGrid>
        <w:gridCol w:w="667"/>
        <w:gridCol w:w="587"/>
        <w:gridCol w:w="590"/>
        <w:gridCol w:w="267"/>
        <w:gridCol w:w="267"/>
        <w:gridCol w:w="272"/>
        <w:gridCol w:w="1609"/>
        <w:gridCol w:w="1609"/>
        <w:gridCol w:w="23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and Operating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51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Operating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June 30, 2026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June 30, 2026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758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557"/>
        <w:gridCol w:w="1557"/>
        <w:gridCol w:w="22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and Operating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Operating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5000024/thehonestcompanyinc-arby.htm" TargetMode="External"/><Relationship Id="rId5" Type="http://schemas.openxmlformats.org/officeDocument/2006/relationships/hyperlink" Target="https://www.sec.gov/Archives/edgar/data/1530979/000162828026023738/honestco2026revolverex101.htm" TargetMode="External"/><Relationship Id="rId6" Type="http://schemas.openxmlformats.org/officeDocument/2006/relationships/hyperlink" Target="https://www.sec.gov/Archives/edgar/data/1530979/000162828026044390/exhibit101wbluffcreekho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24409</Words>
  <Characters>137185</Characters>
  <CharactersWithSpaces>160420</CharactersWithSpaces>
  <Paragraphs>2265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